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EEA" w:rsidRDefault="00F82741" w:rsidP="00F82741">
      <w:pPr>
        <w:suppressLineNumbers/>
        <w:jc w:val="center"/>
        <w:rPr>
          <w:rtl/>
        </w:rPr>
      </w:pPr>
      <w:r>
        <w:rPr>
          <w:rFonts w:cs="FrankRuehl"/>
          <w:sz w:val="28"/>
          <w:szCs w:val="28"/>
        </w:rPr>
        <w:drawing>
          <wp:inline distT="0" distB="0" distL="0" distR="0" wp14:anchorId="2BD11BE1" wp14:editId="102747EE">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sdt>
      <w:sdtPr>
        <w:rPr>
          <w:rFonts w:ascii="Tahoma" w:hAnsi="Tahoma"/>
          <w:color w:val="000080"/>
          <w:sz w:val="32"/>
          <w:szCs w:val="32"/>
          <w:rtl/>
        </w:rPr>
        <w:alias w:val="1174"/>
        <w:tag w:val="1174"/>
        <w:id w:val="-1585920285"/>
        <w:text w:multiLine="1"/>
      </w:sdtPr>
      <w:sdtEndPr/>
      <w:sdtContent>
        <w:p w:rsidR="00F82741" w:rsidRDefault="00F82741" w:rsidP="00F82741">
          <w:pPr>
            <w:suppressLineNumbers/>
            <w:jc w:val="center"/>
            <w:rPr>
              <w:rtl/>
            </w:rPr>
          </w:pPr>
          <w:r w:rsidRPr="00F038D8">
            <w:rPr>
              <w:rFonts w:ascii="Tahoma" w:hAnsi="Tahoma"/>
              <w:color w:val="000080"/>
              <w:sz w:val="32"/>
              <w:szCs w:val="32"/>
              <w:rtl/>
            </w:rPr>
            <w:t>בית המשפט המחוזי בבאר שבע</w:t>
          </w:r>
        </w:p>
      </w:sdtContent>
    </w:sdt>
    <w:p w:rsidR="00F82741" w:rsidRDefault="00F82741" w:rsidP="005A6EEA">
      <w:pPr>
        <w:suppressLineNumbers/>
        <w:rPr>
          <w:rtl/>
        </w:rPr>
      </w:pPr>
    </w:p>
    <w:p w:rsidR="00F82741" w:rsidRDefault="008933BE" w:rsidP="00F82741">
      <w:pPr>
        <w:rPr>
          <w:b/>
          <w:bCs/>
          <w:noProof w:val="0"/>
          <w:sz w:val="26"/>
          <w:szCs w:val="26"/>
          <w:rtl/>
        </w:rPr>
      </w:pPr>
      <w:sdt>
        <w:sdtPr>
          <w:rPr>
            <w:rtl/>
          </w:rPr>
          <w:alias w:val="1170"/>
          <w:tag w:val="1170"/>
          <w:id w:val="1066377040"/>
          <w:text w:multiLine="1"/>
        </w:sdtPr>
        <w:sdtEndPr/>
        <w:sdtContent>
          <w:r w:rsidR="00F82741">
            <w:rPr>
              <w:b/>
              <w:bCs/>
              <w:noProof w:val="0"/>
              <w:sz w:val="26"/>
              <w:szCs w:val="26"/>
              <w:rtl/>
            </w:rPr>
            <w:br/>
          </w:r>
          <w:r w:rsidR="00F82741">
            <w:rPr>
              <w:b/>
              <w:bCs/>
              <w:noProof w:val="0"/>
              <w:sz w:val="26"/>
              <w:szCs w:val="26"/>
              <w:rtl/>
            </w:rPr>
            <w:br/>
          </w:r>
          <w:r w:rsidR="00F82741">
            <w:rPr>
              <w:b/>
              <w:bCs/>
              <w:noProof w:val="0"/>
              <w:sz w:val="26"/>
              <w:szCs w:val="26"/>
              <w:rtl/>
            </w:rPr>
            <w:br/>
          </w:r>
          <w:proofErr w:type="spellStart"/>
          <w:r w:rsidR="00F82741">
            <w:rPr>
              <w:b/>
              <w:bCs/>
              <w:noProof w:val="0"/>
              <w:sz w:val="26"/>
              <w:szCs w:val="26"/>
              <w:rtl/>
            </w:rPr>
            <w:t>רמ"ש</w:t>
          </w:r>
          <w:proofErr w:type="spellEnd"/>
        </w:sdtContent>
      </w:sdt>
      <w:r w:rsidR="00F82741">
        <w:rPr>
          <w:b/>
          <w:bCs/>
          <w:noProof w:val="0"/>
          <w:sz w:val="26"/>
          <w:szCs w:val="26"/>
          <w:rtl/>
        </w:rPr>
        <w:t xml:space="preserve"> </w:t>
      </w:r>
      <w:bookmarkStart w:id="0" w:name="_GoBack"/>
      <w:sdt>
        <w:sdtPr>
          <w:rPr>
            <w:rtl/>
          </w:rPr>
          <w:alias w:val="1171"/>
          <w:tag w:val="1171"/>
          <w:id w:val="257034231"/>
          <w:text w:multiLine="1"/>
        </w:sdtPr>
        <w:sdtEndPr/>
        <w:sdtContent>
          <w:r w:rsidR="00F82741">
            <w:rPr>
              <w:b/>
              <w:bCs/>
              <w:noProof w:val="0"/>
              <w:sz w:val="26"/>
              <w:szCs w:val="26"/>
              <w:rtl/>
            </w:rPr>
            <w:t>10598-04-24</w:t>
          </w:r>
        </w:sdtContent>
      </w:sdt>
      <w:bookmarkEnd w:id="0"/>
      <w:r w:rsidR="00F82741">
        <w:rPr>
          <w:b/>
          <w:bCs/>
          <w:noProof w:val="0"/>
          <w:sz w:val="26"/>
          <w:szCs w:val="26"/>
          <w:rtl/>
        </w:rPr>
        <w:t xml:space="preserve"> </w:t>
      </w:r>
      <w:sdt>
        <w:sdtPr>
          <w:rPr>
            <w:b/>
            <w:bCs/>
            <w:noProof w:val="0"/>
            <w:sz w:val="26"/>
            <w:szCs w:val="26"/>
            <w:rtl/>
          </w:rPr>
          <w:alias w:val="3154"/>
          <w:tag w:val="3154"/>
          <w:id w:val="-1714497037"/>
          <w:placeholder>
            <w:docPart w:val="4FBCAF14F4064D47A89D806155736F54"/>
          </w:placeholder>
          <w:text w:multiLine="1"/>
        </w:sdtPr>
        <w:sdtEndPr/>
        <w:sdtContent>
          <w:r w:rsidR="00F82741">
            <w:rPr>
              <w:rFonts w:hint="cs"/>
              <w:b/>
              <w:bCs/>
              <w:noProof w:val="0"/>
              <w:sz w:val="26"/>
              <w:szCs w:val="26"/>
              <w:rtl/>
            </w:rPr>
            <w:t xml:space="preserve">פלונית </w:t>
          </w:r>
          <w:r w:rsidR="00F82741">
            <w:rPr>
              <w:b/>
              <w:bCs/>
              <w:noProof w:val="0"/>
              <w:sz w:val="26"/>
              <w:szCs w:val="26"/>
              <w:rtl/>
            </w:rPr>
            <w:t xml:space="preserve">נ' </w:t>
          </w:r>
          <w:r w:rsidR="00F82741">
            <w:rPr>
              <w:rFonts w:hint="cs"/>
              <w:b/>
              <w:bCs/>
              <w:noProof w:val="0"/>
              <w:sz w:val="26"/>
              <w:szCs w:val="26"/>
              <w:rtl/>
            </w:rPr>
            <w:t xml:space="preserve">פלוני </w:t>
          </w:r>
        </w:sdtContent>
      </w:sdt>
      <w:r w:rsidR="00F82741">
        <w:rPr>
          <w:b/>
          <w:bCs/>
          <w:noProof w:val="0"/>
          <w:sz w:val="26"/>
          <w:szCs w:val="26"/>
          <w:rtl/>
        </w:rPr>
        <w:t xml:space="preserve"> </w:t>
      </w:r>
    </w:p>
    <w:p w:rsidR="00F82741" w:rsidRPr="007B7765" w:rsidRDefault="00F82741" w:rsidP="00F82741">
      <w:pPr>
        <w:rPr>
          <w:b/>
          <w:bCs/>
          <w:noProof w:val="0"/>
          <w:sz w:val="2"/>
          <w:szCs w:val="2"/>
          <w:rtl/>
        </w:rPr>
      </w:pPr>
    </w:p>
    <w:p w:rsidR="00F82741" w:rsidRDefault="00F82741" w:rsidP="00F82741">
      <w:pPr>
        <w:rPr>
          <w:sz w:val="20"/>
          <w:szCs w:val="20"/>
          <w:rtl/>
        </w:rPr>
      </w:pPr>
      <w:r>
        <w:rPr>
          <w:rFonts w:hint="cs"/>
          <w:rtl/>
        </w:rPr>
        <w:t xml:space="preserve">                           </w:t>
      </w:r>
      <w:r>
        <w:rPr>
          <w:rFonts w:hint="cs"/>
          <w:sz w:val="20"/>
          <w:szCs w:val="20"/>
          <w:rtl/>
        </w:rPr>
        <w:t xml:space="preserve">                                       </w:t>
      </w:r>
    </w:p>
    <w:p w:rsidR="00F82741" w:rsidRDefault="00F82741" w:rsidP="005A6EEA">
      <w:pPr>
        <w:suppressLineNumbers/>
        <w:rPr>
          <w:rtl/>
        </w:rPr>
      </w:pPr>
    </w:p>
    <w:p w:rsidR="00F82741" w:rsidRDefault="00F82741" w:rsidP="005A6EEA">
      <w:pPr>
        <w:suppressLineNumbers/>
        <w:rPr>
          <w:rtl/>
        </w:rPr>
      </w:pPr>
    </w:p>
    <w:p w:rsidR="00F82741" w:rsidRDefault="00F82741" w:rsidP="005A6EEA">
      <w:pPr>
        <w:suppressLineNumbers/>
        <w:rPr>
          <w:rtl/>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5A6EEA" w:rsidTr="000A78E6">
        <w:trPr>
          <w:jc w:val="center"/>
        </w:trPr>
        <w:tc>
          <w:tcPr>
            <w:tcW w:w="743" w:type="dxa"/>
          </w:tcPr>
          <w:p w:rsidR="005A6EEA" w:rsidRPr="008A59EE" w:rsidRDefault="005A6EEA" w:rsidP="000A78E6">
            <w:pPr>
              <w:suppressLineNumbers/>
              <w:jc w:val="both"/>
              <w:rPr>
                <w:rFonts w:ascii="Arial" w:hAnsi="Arial"/>
                <w:b/>
                <w:bCs/>
                <w:sz w:val="26"/>
                <w:szCs w:val="26"/>
                <w:rtl/>
              </w:rPr>
            </w:pPr>
            <w:r>
              <w:rPr>
                <w:rFonts w:ascii="Arial" w:hAnsi="Arial" w:hint="cs"/>
                <w:b/>
                <w:bCs/>
                <w:sz w:val="26"/>
                <w:szCs w:val="26"/>
                <w:rtl/>
              </w:rPr>
              <w:t>ל</w:t>
            </w:r>
            <w:r w:rsidRPr="008A59EE">
              <w:rPr>
                <w:rFonts w:ascii="Arial" w:hAnsi="Arial"/>
                <w:b/>
                <w:bCs/>
                <w:sz w:val="26"/>
                <w:szCs w:val="26"/>
                <w:rtl/>
              </w:rPr>
              <w:t xml:space="preserve">פני </w:t>
            </w:r>
          </w:p>
        </w:tc>
        <w:tc>
          <w:tcPr>
            <w:tcW w:w="8077" w:type="dxa"/>
            <w:gridSpan w:val="2"/>
          </w:tcPr>
          <w:p w:rsidR="005A6EEA" w:rsidRPr="008A59EE" w:rsidRDefault="005A6EEA" w:rsidP="000A78E6">
            <w:pPr>
              <w:suppressLineNumbers/>
              <w:rPr>
                <w:rFonts w:ascii="Arial" w:hAnsi="Arial"/>
                <w:b/>
                <w:bCs/>
                <w:sz w:val="26"/>
                <w:szCs w:val="26"/>
                <w:rtl/>
              </w:rPr>
            </w:pPr>
            <w:r w:rsidRPr="008A59EE">
              <w:rPr>
                <w:rFonts w:ascii="Arial" w:hAnsi="Arial" w:hint="cs"/>
                <w:b/>
                <w:bCs/>
                <w:sz w:val="26"/>
                <w:szCs w:val="26"/>
                <w:rtl/>
              </w:rPr>
              <w:t>כבוד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פאני גילת כהן</w:t>
                </w:r>
              </w:sdtContent>
            </w:sdt>
          </w:p>
          <w:p w:rsidR="005A6EEA" w:rsidRPr="008A59EE" w:rsidRDefault="005A6EEA" w:rsidP="000A78E6">
            <w:pPr>
              <w:suppressLineNumbers/>
              <w:rPr>
                <w:sz w:val="26"/>
                <w:szCs w:val="26"/>
              </w:rPr>
            </w:pPr>
          </w:p>
        </w:tc>
      </w:tr>
      <w:tr w:rsidR="005A6EEA" w:rsidTr="000A78E6">
        <w:trPr>
          <w:jc w:val="center"/>
        </w:trPr>
        <w:tc>
          <w:tcPr>
            <w:tcW w:w="3249" w:type="dxa"/>
            <w:gridSpan w:val="2"/>
          </w:tcPr>
          <w:p w:rsidR="005A6EEA" w:rsidRDefault="005A6EEA" w:rsidP="000A78E6">
            <w:pPr>
              <w:suppressLineNumbers/>
              <w:rPr>
                <w:rtl/>
              </w:rPr>
            </w:pPr>
          </w:p>
          <w:sdt>
            <w:sdtPr>
              <w:rPr>
                <w:rtl/>
              </w:rPr>
              <w:alias w:val="1180"/>
              <w:tag w:val="1180"/>
              <w:id w:val="637458750"/>
              <w:text w:multiLine="1"/>
            </w:sdtPr>
            <w:sdtEndPr/>
            <w:sdtContent>
              <w:p w:rsidR="005A6EEA" w:rsidRDefault="005A6EEA" w:rsidP="000A78E6">
                <w:pPr>
                  <w:suppressLineNumbers/>
                  <w:rPr>
                    <w:rFonts w:ascii="Arial" w:hAnsi="Arial"/>
                    <w:b/>
                    <w:bCs/>
                    <w:noProof w:val="0"/>
                    <w:sz w:val="26"/>
                    <w:szCs w:val="26"/>
                    <w:rtl/>
                  </w:rPr>
                </w:pPr>
                <w:r>
                  <w:rPr>
                    <w:rFonts w:ascii="Arial" w:hAnsi="Arial" w:hint="cs"/>
                    <w:b/>
                    <w:bCs/>
                    <w:noProof w:val="0"/>
                    <w:sz w:val="26"/>
                    <w:szCs w:val="26"/>
                    <w:rtl/>
                  </w:rPr>
                  <w:t>המבקשת</w:t>
                </w:r>
              </w:p>
            </w:sdtContent>
          </w:sdt>
        </w:tc>
        <w:tc>
          <w:tcPr>
            <w:tcW w:w="5571" w:type="dxa"/>
          </w:tcPr>
          <w:p w:rsidR="005A6EEA" w:rsidRDefault="005A6EEA" w:rsidP="000A78E6">
            <w:pPr>
              <w:suppressLineNumbers/>
              <w:rPr>
                <w:rtl/>
              </w:rPr>
            </w:pPr>
          </w:p>
          <w:p w:rsidR="005A6EEA" w:rsidRDefault="008933BE" w:rsidP="000A78E6">
            <w:pPr>
              <w:suppressLineNumbers/>
              <w:rPr>
                <w:b/>
                <w:bCs/>
                <w:noProof w:val="0"/>
                <w:sz w:val="26"/>
                <w:szCs w:val="26"/>
              </w:rPr>
            </w:pPr>
            <w:sdt>
              <w:sdtPr>
                <w:rPr>
                  <w:rFonts w:ascii="Arial" w:hAnsi="Arial"/>
                  <w:b/>
                  <w:bCs/>
                  <w:noProof w:val="0"/>
                  <w:sz w:val="26"/>
                  <w:szCs w:val="26"/>
                  <w:rtl/>
                </w:rPr>
                <w:alias w:val="3151"/>
                <w:tag w:val="3151"/>
                <w:id w:val="1166218717"/>
                <w:placeholder>
                  <w:docPart w:val="8D676F7E7FAB462AB85F07E6113AA543"/>
                </w:placeholder>
                <w:text w:multiLine="1"/>
              </w:sdtPr>
              <w:sdtEndPr/>
              <w:sdtContent>
                <w:r w:rsidR="005A6EEA">
                  <w:rPr>
                    <w:rFonts w:ascii="Arial" w:hAnsi="Arial" w:hint="cs"/>
                    <w:b/>
                    <w:bCs/>
                    <w:noProof w:val="0"/>
                    <w:sz w:val="26"/>
                    <w:szCs w:val="26"/>
                    <w:rtl/>
                  </w:rPr>
                  <w:t>פלונית</w:t>
                </w:r>
                <w:r w:rsidR="005A6EEA">
                  <w:rPr>
                    <w:rFonts w:ascii="Arial" w:hAnsi="Arial"/>
                    <w:b/>
                    <w:bCs/>
                    <w:noProof w:val="0"/>
                    <w:sz w:val="26"/>
                    <w:szCs w:val="26"/>
                    <w:rtl/>
                  </w:rPr>
                  <w:br/>
                </w:r>
                <w:r w:rsidR="005A6EEA">
                  <w:rPr>
                    <w:rFonts w:ascii="Arial" w:hAnsi="Arial" w:hint="cs"/>
                    <w:b/>
                    <w:bCs/>
                    <w:noProof w:val="0"/>
                    <w:sz w:val="26"/>
                    <w:szCs w:val="26"/>
                    <w:rtl/>
                  </w:rPr>
                  <w:t>באמצעות ב"כ עו"ד יצחק קארו</w:t>
                </w:r>
              </w:sdtContent>
            </w:sdt>
          </w:p>
        </w:tc>
      </w:tr>
      <w:tr w:rsidR="005A6EEA" w:rsidTr="000A78E6">
        <w:trPr>
          <w:jc w:val="center"/>
        </w:trPr>
        <w:tc>
          <w:tcPr>
            <w:tcW w:w="8820" w:type="dxa"/>
            <w:gridSpan w:val="3"/>
          </w:tcPr>
          <w:p w:rsidR="005A6EEA" w:rsidRDefault="005A6EEA" w:rsidP="000A78E6">
            <w:pPr>
              <w:suppressLineNumbers/>
              <w:rPr>
                <w:rFonts w:ascii="Arial" w:hAnsi="Arial"/>
                <w:b/>
                <w:bCs/>
                <w:noProof w:val="0"/>
                <w:sz w:val="26"/>
                <w:szCs w:val="26"/>
                <w:rtl/>
              </w:rPr>
            </w:pPr>
          </w:p>
          <w:p w:rsidR="005A6EEA" w:rsidRDefault="005A6EEA" w:rsidP="000A78E6">
            <w:pPr>
              <w:suppressLineNumbers/>
              <w:jc w:val="center"/>
              <w:rPr>
                <w:rFonts w:ascii="Arial" w:hAnsi="Arial"/>
                <w:b/>
                <w:bCs/>
                <w:noProof w:val="0"/>
                <w:sz w:val="26"/>
                <w:szCs w:val="26"/>
              </w:rPr>
            </w:pPr>
          </w:p>
        </w:tc>
      </w:tr>
      <w:tr w:rsidR="005A6EEA" w:rsidTr="000A78E6">
        <w:trPr>
          <w:jc w:val="center"/>
        </w:trPr>
        <w:tc>
          <w:tcPr>
            <w:tcW w:w="3249" w:type="dxa"/>
            <w:gridSpan w:val="2"/>
          </w:tcPr>
          <w:p w:rsidR="005A6EEA" w:rsidRDefault="008933BE" w:rsidP="000A78E6">
            <w:pPr>
              <w:suppressLineNumbers/>
              <w:rPr>
                <w:rFonts w:ascii="Arial" w:hAnsi="Arial"/>
                <w:b/>
                <w:bCs/>
                <w:noProof w:val="0"/>
                <w:sz w:val="26"/>
                <w:szCs w:val="26"/>
              </w:rPr>
            </w:pPr>
            <w:sdt>
              <w:sdtPr>
                <w:rPr>
                  <w:rtl/>
                </w:rPr>
                <w:alias w:val="1184"/>
                <w:tag w:val="1184"/>
                <w:id w:val="-340621022"/>
                <w:text w:multiLine="1"/>
              </w:sdtPr>
              <w:sdtEndPr/>
              <w:sdtContent>
                <w:r w:rsidR="005A6EEA">
                  <w:rPr>
                    <w:rFonts w:ascii="Arial" w:hAnsi="Arial" w:hint="cs"/>
                    <w:b/>
                    <w:bCs/>
                    <w:noProof w:val="0"/>
                    <w:sz w:val="26"/>
                    <w:szCs w:val="26"/>
                    <w:rtl/>
                  </w:rPr>
                  <w:t>המשיב</w:t>
                </w:r>
              </w:sdtContent>
            </w:sdt>
          </w:p>
        </w:tc>
        <w:tc>
          <w:tcPr>
            <w:tcW w:w="5571" w:type="dxa"/>
          </w:tcPr>
          <w:p w:rsidR="005A6EEA" w:rsidRPr="00CD516B" w:rsidRDefault="008933BE" w:rsidP="000A78E6">
            <w:pPr>
              <w:suppressLineNumbers/>
              <w:rPr>
                <w:rFonts w:ascii="Arial" w:hAnsi="Arial"/>
                <w:b/>
                <w:bCs/>
                <w:noProof w:val="0"/>
                <w:sz w:val="26"/>
                <w:szCs w:val="26"/>
                <w:rtl/>
              </w:rPr>
            </w:pPr>
            <w:sdt>
              <w:sdtPr>
                <w:rPr>
                  <w:rFonts w:ascii="Arial" w:hAnsi="Arial"/>
                  <w:b/>
                  <w:bCs/>
                  <w:noProof w:val="0"/>
                  <w:sz w:val="26"/>
                  <w:szCs w:val="26"/>
                  <w:rtl/>
                </w:rPr>
                <w:alias w:val="3152"/>
                <w:tag w:val="3152"/>
                <w:id w:val="-1346628691"/>
                <w:placeholder>
                  <w:docPart w:val="BA22562F2FC440E6A5B057FD8886F956"/>
                </w:placeholder>
                <w:text w:multiLine="1"/>
              </w:sdtPr>
              <w:sdtEndPr/>
              <w:sdtContent>
                <w:r w:rsidR="005A6EEA">
                  <w:rPr>
                    <w:rFonts w:ascii="Arial" w:hAnsi="Arial" w:hint="cs"/>
                    <w:b/>
                    <w:bCs/>
                    <w:noProof w:val="0"/>
                    <w:sz w:val="26"/>
                    <w:szCs w:val="26"/>
                    <w:rtl/>
                  </w:rPr>
                  <w:t>פלוני</w:t>
                </w:r>
                <w:r w:rsidR="005A6EEA">
                  <w:rPr>
                    <w:rFonts w:ascii="Arial" w:hAnsi="Arial"/>
                    <w:b/>
                    <w:bCs/>
                    <w:noProof w:val="0"/>
                    <w:sz w:val="26"/>
                    <w:szCs w:val="26"/>
                    <w:rtl/>
                  </w:rPr>
                  <w:br/>
                </w:r>
                <w:r w:rsidR="005A6EEA">
                  <w:rPr>
                    <w:rFonts w:ascii="Arial" w:hAnsi="Arial" w:hint="cs"/>
                    <w:b/>
                    <w:bCs/>
                    <w:noProof w:val="0"/>
                    <w:sz w:val="26"/>
                    <w:szCs w:val="26"/>
                    <w:rtl/>
                  </w:rPr>
                  <w:t xml:space="preserve">באמצעות ב"כ עו"ד דן </w:t>
                </w:r>
                <w:proofErr w:type="spellStart"/>
                <w:r w:rsidR="005A6EEA">
                  <w:rPr>
                    <w:rFonts w:ascii="Arial" w:hAnsi="Arial" w:hint="cs"/>
                    <w:b/>
                    <w:bCs/>
                    <w:noProof w:val="0"/>
                    <w:sz w:val="26"/>
                    <w:szCs w:val="26"/>
                    <w:rtl/>
                  </w:rPr>
                  <w:t>מלכיאלי</w:t>
                </w:r>
                <w:proofErr w:type="spellEnd"/>
                <w:r w:rsidR="005A6EEA">
                  <w:rPr>
                    <w:rFonts w:ascii="Arial" w:hAnsi="Arial" w:hint="cs"/>
                    <w:b/>
                    <w:bCs/>
                    <w:noProof w:val="0"/>
                    <w:sz w:val="26"/>
                    <w:szCs w:val="26"/>
                    <w:rtl/>
                  </w:rPr>
                  <w:t xml:space="preserve"> ואח'</w:t>
                </w:r>
              </w:sdtContent>
            </w:sdt>
          </w:p>
        </w:tc>
      </w:tr>
      <w:tr w:rsidR="005A6EEA" w:rsidTr="000A78E6">
        <w:trPr>
          <w:jc w:val="center"/>
        </w:trPr>
        <w:tc>
          <w:tcPr>
            <w:tcW w:w="8820" w:type="dxa"/>
            <w:gridSpan w:val="3"/>
          </w:tcPr>
          <w:p w:rsidR="005A6EEA" w:rsidRDefault="005A6EEA" w:rsidP="000A78E6">
            <w:pPr>
              <w:suppressLineNumbers/>
              <w:rPr>
                <w:rtl/>
              </w:rPr>
            </w:pPr>
          </w:p>
        </w:tc>
      </w:tr>
      <w:tr w:rsidR="005A6EEA" w:rsidTr="000A78E6">
        <w:trPr>
          <w:jc w:val="center"/>
        </w:trPr>
        <w:tc>
          <w:tcPr>
            <w:tcW w:w="3249" w:type="dxa"/>
            <w:gridSpan w:val="2"/>
          </w:tcPr>
          <w:p w:rsidR="005A6EEA" w:rsidRPr="00B62AD7" w:rsidRDefault="005A6EEA" w:rsidP="000A78E6">
            <w:pPr>
              <w:rPr>
                <w:rFonts w:ascii="David" w:eastAsia="David" w:hAnsi="David"/>
                <w:b/>
                <w:bCs/>
                <w:noProof w:val="0"/>
              </w:rPr>
            </w:pPr>
          </w:p>
        </w:tc>
        <w:tc>
          <w:tcPr>
            <w:tcW w:w="5571" w:type="dxa"/>
          </w:tcPr>
          <w:p w:rsidR="005A6EEA" w:rsidRPr="00B62AD7" w:rsidRDefault="005A6EEA" w:rsidP="000A78E6">
            <w:pPr>
              <w:rPr>
                <w:b/>
                <w:bCs/>
                <w:sz w:val="26"/>
                <w:szCs w:val="26"/>
              </w:rPr>
            </w:pPr>
          </w:p>
        </w:tc>
      </w:tr>
      <w:tr w:rsidR="005A6EEA" w:rsidTr="000A78E6">
        <w:trPr>
          <w:jc w:val="center"/>
        </w:trPr>
        <w:tc>
          <w:tcPr>
            <w:tcW w:w="8820" w:type="dxa"/>
            <w:gridSpan w:val="3"/>
          </w:tcPr>
          <w:p w:rsidR="005A6EEA" w:rsidRDefault="005A6EEA" w:rsidP="000A78E6">
            <w:pPr>
              <w:suppressLineNumbers/>
              <w:rPr>
                <w:rFonts w:ascii="Arial" w:hAnsi="Arial"/>
                <w:b/>
                <w:bCs/>
                <w:noProof w:val="0"/>
                <w:sz w:val="26"/>
                <w:szCs w:val="26"/>
                <w:rtl/>
              </w:rPr>
            </w:pPr>
          </w:p>
        </w:tc>
      </w:tr>
    </w:tbl>
    <w:p w:rsidR="005A6EEA" w:rsidRDefault="005A6EEA" w:rsidP="005A6EEA">
      <w:pPr>
        <w:suppressLineNumbers/>
        <w:rPr>
          <w:rtl/>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5A6EEA" w:rsidRPr="00DE1E7D" w:rsidTr="000A78E6">
        <w:trPr>
          <w:jc w:val="center"/>
        </w:trPr>
        <w:tc>
          <w:tcPr>
            <w:tcW w:w="8820" w:type="dxa"/>
          </w:tcPr>
          <w:p w:rsidR="005A6EEA" w:rsidRPr="002D3899" w:rsidRDefault="005A6EEA" w:rsidP="000A78E6">
            <w:pPr>
              <w:bidi w:val="0"/>
              <w:jc w:val="center"/>
              <w:rPr>
                <w:rFonts w:ascii="Arial" w:hAnsi="Arial"/>
                <w:b/>
                <w:bCs/>
                <w:noProof w:val="0"/>
                <w:sz w:val="32"/>
                <w:szCs w:val="32"/>
                <w:u w:val="single"/>
                <w:rtl/>
              </w:rPr>
            </w:pPr>
            <w:r w:rsidRPr="002D3899">
              <w:rPr>
                <w:rFonts w:ascii="Arial" w:hAnsi="Arial" w:hint="cs"/>
                <w:b/>
                <w:bCs/>
                <w:noProof w:val="0"/>
                <w:sz w:val="32"/>
                <w:szCs w:val="32"/>
                <w:u w:val="single"/>
                <w:rtl/>
              </w:rPr>
              <w:t>החלטה</w:t>
            </w:r>
          </w:p>
          <w:p w:rsidR="005A6EEA" w:rsidRPr="00D44968" w:rsidRDefault="005A6EEA" w:rsidP="000A78E6">
            <w:pPr>
              <w:bidi w:val="0"/>
              <w:jc w:val="center"/>
              <w:rPr>
                <w:rFonts w:ascii="Arial" w:hAnsi="Arial"/>
                <w:b/>
                <w:bCs/>
                <w:noProof w:val="0"/>
                <w:sz w:val="28"/>
                <w:szCs w:val="28"/>
                <w:u w:val="single"/>
              </w:rPr>
            </w:pPr>
          </w:p>
        </w:tc>
      </w:tr>
    </w:tbl>
    <w:p w:rsidR="005A6EEA" w:rsidRDefault="005A6EEA" w:rsidP="00F82741">
      <w:pPr>
        <w:pStyle w:val="a4"/>
        <w:spacing w:line="360" w:lineRule="auto"/>
        <w:ind w:left="-58"/>
        <w:jc w:val="both"/>
        <w:rPr>
          <w:rFonts w:ascii="Arial" w:hAnsi="Arial"/>
          <w:noProof w:val="0"/>
          <w:rtl/>
        </w:rPr>
      </w:pPr>
      <w:bookmarkStart w:id="1" w:name="NGCSBookmark"/>
      <w:bookmarkEnd w:id="1"/>
      <w:r>
        <w:rPr>
          <w:rFonts w:ascii="Arial" w:hAnsi="Arial"/>
          <w:noProof w:val="0"/>
          <w:rtl/>
        </w:rPr>
        <w:t>בקשת רשות הערעור שלפנ</w:t>
      </w:r>
      <w:r>
        <w:rPr>
          <w:rFonts w:ascii="Arial" w:hAnsi="Arial" w:hint="cs"/>
          <w:noProof w:val="0"/>
          <w:rtl/>
        </w:rPr>
        <w:t>ינו</w:t>
      </w:r>
      <w:r>
        <w:rPr>
          <w:rFonts w:ascii="Arial" w:hAnsi="Arial"/>
          <w:noProof w:val="0"/>
          <w:rtl/>
        </w:rPr>
        <w:t xml:space="preserve"> מכוונת כנגד החלטת בית המשפט לענייני משפחה </w:t>
      </w:r>
      <w:r>
        <w:rPr>
          <w:rFonts w:ascii="Arial" w:hAnsi="Arial" w:hint="cs"/>
          <w:noProof w:val="0"/>
          <w:rtl/>
        </w:rPr>
        <w:t>בבאר שבע</w:t>
      </w:r>
      <w:r>
        <w:rPr>
          <w:rFonts w:ascii="Arial" w:hAnsi="Arial"/>
          <w:noProof w:val="0"/>
          <w:rtl/>
        </w:rPr>
        <w:t xml:space="preserve"> </w:t>
      </w:r>
      <w:r>
        <w:rPr>
          <w:rFonts w:ascii="Arial" w:hAnsi="Arial" w:hint="cs"/>
          <w:noProof w:val="0"/>
          <w:rtl/>
        </w:rPr>
        <w:t xml:space="preserve">מיום 04.03.2024 </w:t>
      </w:r>
      <w:r>
        <w:rPr>
          <w:rFonts w:ascii="Arial" w:hAnsi="Arial"/>
          <w:noProof w:val="0"/>
          <w:rtl/>
        </w:rPr>
        <w:t xml:space="preserve">בגדרה </w:t>
      </w:r>
      <w:r>
        <w:rPr>
          <w:rFonts w:ascii="Arial" w:hAnsi="Arial" w:hint="cs"/>
          <w:noProof w:val="0"/>
          <w:rtl/>
        </w:rPr>
        <w:t xml:space="preserve">נקבע, כי מועד הקרע ביחסי הצדדים, כמשמעותו בחוק יחסי ממון בין בני זוג, תשל"ג-1973, הוא 01.02.2023.  </w:t>
      </w:r>
    </w:p>
    <w:p w:rsidR="005A6EEA" w:rsidRDefault="005A6EEA" w:rsidP="005A6EEA">
      <w:pPr>
        <w:pStyle w:val="a4"/>
        <w:spacing w:line="360" w:lineRule="auto"/>
        <w:ind w:left="85"/>
        <w:jc w:val="both"/>
        <w:rPr>
          <w:rFonts w:ascii="Arial" w:hAnsi="Arial"/>
          <w:noProof w:val="0"/>
          <w:rtl/>
        </w:rPr>
      </w:pPr>
    </w:p>
    <w:p w:rsidR="005A6EEA" w:rsidRDefault="005A6EEA" w:rsidP="005A6EEA">
      <w:pPr>
        <w:spacing w:after="160" w:line="360" w:lineRule="auto"/>
        <w:ind w:hanging="57"/>
        <w:contextualSpacing/>
        <w:jc w:val="both"/>
        <w:rPr>
          <w:rFonts w:ascii="David" w:eastAsia="Calibri" w:hAnsi="David"/>
          <w:b/>
          <w:bCs/>
          <w:noProof w:val="0"/>
          <w:sz w:val="26"/>
          <w:szCs w:val="26"/>
          <w:u w:val="single"/>
        </w:rPr>
      </w:pPr>
      <w:r>
        <w:rPr>
          <w:rFonts w:ascii="David" w:eastAsia="Calibri" w:hAnsi="David"/>
          <w:b/>
          <w:bCs/>
          <w:noProof w:val="0"/>
          <w:sz w:val="26"/>
          <w:szCs w:val="26"/>
          <w:u w:val="single"/>
          <w:rtl/>
        </w:rPr>
        <w:t xml:space="preserve">רקע </w:t>
      </w:r>
      <w:r>
        <w:rPr>
          <w:rFonts w:ascii="David" w:eastAsia="Calibri" w:hAnsi="David" w:hint="cs"/>
          <w:b/>
          <w:bCs/>
          <w:noProof w:val="0"/>
          <w:sz w:val="26"/>
          <w:szCs w:val="26"/>
          <w:u w:val="single"/>
          <w:rtl/>
        </w:rPr>
        <w:t>עובדתי בתמצית</w:t>
      </w:r>
    </w:p>
    <w:p w:rsidR="005A6EEA" w:rsidRDefault="005A6EEA" w:rsidP="005A6EEA">
      <w:pPr>
        <w:pStyle w:val="a4"/>
        <w:spacing w:line="360" w:lineRule="auto"/>
        <w:ind w:left="85"/>
        <w:jc w:val="both"/>
        <w:rPr>
          <w:rFonts w:ascii="Arial" w:hAnsi="Arial"/>
          <w:noProof w:val="0"/>
        </w:rPr>
      </w:pPr>
      <w:r>
        <w:rPr>
          <w:rFonts w:ascii="Arial" w:hAnsi="Arial" w:hint="cs"/>
          <w:noProof w:val="0"/>
          <w:rtl/>
        </w:rPr>
        <w:t xml:space="preserve">הצדדים הם בני זוג לשעבר, שנישאו זה לזו כדת משה וישראל בשנת 2004 והתגרשו בגט פיטורין לפני כשנה, ביום 23.05.2023; מנישואיהם נולדו להם שלושה ילדים, ושלושתם עדיין קטינים. </w:t>
      </w:r>
    </w:p>
    <w:p w:rsidR="005A6EEA" w:rsidRDefault="005A6EEA" w:rsidP="005A6EEA">
      <w:pPr>
        <w:pStyle w:val="a4"/>
        <w:ind w:left="794"/>
        <w:jc w:val="both"/>
        <w:rPr>
          <w:rFonts w:ascii="Arial" w:hAnsi="Arial"/>
          <w:noProof w:val="0"/>
        </w:rPr>
      </w:pPr>
    </w:p>
    <w:p w:rsidR="005A6EEA" w:rsidRDefault="005A6EEA" w:rsidP="005A6EEA">
      <w:pPr>
        <w:pStyle w:val="a4"/>
        <w:spacing w:line="360" w:lineRule="auto"/>
        <w:ind w:left="85"/>
        <w:jc w:val="both"/>
        <w:rPr>
          <w:rFonts w:ascii="Arial" w:hAnsi="Arial"/>
          <w:noProof w:val="0"/>
          <w:rtl/>
        </w:rPr>
      </w:pPr>
      <w:r>
        <w:rPr>
          <w:rFonts w:ascii="Arial" w:hAnsi="Arial" w:hint="cs"/>
          <w:noProof w:val="0"/>
          <w:rtl/>
        </w:rPr>
        <w:t xml:space="preserve">בין הצדדים מתנהלים הליכים מספר בבית המשפט קמא, ומעיון בתיקים עולה, כי ראשיתם בהליך יישוב סכסוך בו נקטה המבקשת בחודש פברואר אשתקד בעקבות התדרדרות במערכת היחסים בין הצדדים ועזיבת המשיב את הבית המשותף חודש קודם לכן. </w:t>
      </w:r>
    </w:p>
    <w:p w:rsidR="005A6EEA" w:rsidRDefault="005A6EEA" w:rsidP="005A6EEA">
      <w:pPr>
        <w:pStyle w:val="a4"/>
        <w:spacing w:line="360" w:lineRule="auto"/>
        <w:ind w:left="85"/>
        <w:jc w:val="both"/>
        <w:rPr>
          <w:rFonts w:ascii="Arial" w:hAnsi="Arial"/>
          <w:noProof w:val="0"/>
          <w:rtl/>
        </w:rPr>
      </w:pPr>
    </w:p>
    <w:p w:rsidR="005A6EEA" w:rsidRDefault="005A6EEA" w:rsidP="005A6EEA">
      <w:pPr>
        <w:pStyle w:val="a4"/>
        <w:spacing w:line="360" w:lineRule="auto"/>
        <w:ind w:left="85"/>
        <w:jc w:val="both"/>
        <w:rPr>
          <w:rFonts w:ascii="Arial" w:hAnsi="Arial"/>
          <w:noProof w:val="0"/>
          <w:rtl/>
        </w:rPr>
      </w:pPr>
      <w:r>
        <w:rPr>
          <w:rFonts w:ascii="Arial" w:hAnsi="Arial" w:hint="cs"/>
          <w:noProof w:val="0"/>
          <w:rtl/>
        </w:rPr>
        <w:t xml:space="preserve">הליך יישוב הסכסוך לא נשא פרי, ובחודש מאי אשתקד הוגשו ע"י הצדדים תובענות שונות האחד כנגד משנהו, ובין השאר גם תובענות </w:t>
      </w:r>
      <w:proofErr w:type="spellStart"/>
      <w:r>
        <w:rPr>
          <w:rFonts w:ascii="Arial" w:hAnsi="Arial" w:hint="cs"/>
          <w:noProof w:val="0"/>
          <w:rtl/>
        </w:rPr>
        <w:t>רכושיות</w:t>
      </w:r>
      <w:proofErr w:type="spellEnd"/>
      <w:r>
        <w:rPr>
          <w:rFonts w:ascii="Arial" w:hAnsi="Arial" w:hint="cs"/>
          <w:noProof w:val="0"/>
          <w:rtl/>
        </w:rPr>
        <w:t xml:space="preserve"> הדדיות. </w:t>
      </w:r>
    </w:p>
    <w:p w:rsidR="005A6EEA" w:rsidRDefault="005A6EEA" w:rsidP="005A6EEA">
      <w:pPr>
        <w:pStyle w:val="a4"/>
        <w:spacing w:line="360" w:lineRule="auto"/>
        <w:ind w:left="85"/>
        <w:jc w:val="both"/>
        <w:rPr>
          <w:rFonts w:ascii="Arial" w:hAnsi="Arial"/>
          <w:noProof w:val="0"/>
          <w:rtl/>
        </w:rPr>
      </w:pPr>
    </w:p>
    <w:p w:rsidR="005A6EEA" w:rsidRDefault="005A6EEA" w:rsidP="005A6EEA">
      <w:pPr>
        <w:pStyle w:val="a4"/>
        <w:spacing w:line="360" w:lineRule="auto"/>
        <w:ind w:left="85"/>
        <w:jc w:val="both"/>
        <w:rPr>
          <w:rFonts w:ascii="Arial" w:hAnsi="Arial"/>
          <w:noProof w:val="0"/>
          <w:rtl/>
        </w:rPr>
      </w:pPr>
      <w:r>
        <w:rPr>
          <w:rFonts w:ascii="Arial" w:hAnsi="Arial" w:hint="cs"/>
          <w:noProof w:val="0"/>
          <w:rtl/>
        </w:rPr>
        <w:t xml:space="preserve">ביום 21.02.2024 התקיימה ישיבת קדם משפט בשני ההליכים </w:t>
      </w:r>
      <w:proofErr w:type="spellStart"/>
      <w:r>
        <w:rPr>
          <w:rFonts w:ascii="Arial" w:hAnsi="Arial" w:hint="cs"/>
          <w:noProof w:val="0"/>
          <w:rtl/>
        </w:rPr>
        <w:t>הרכושיים</w:t>
      </w:r>
      <w:proofErr w:type="spellEnd"/>
      <w:r>
        <w:rPr>
          <w:rFonts w:ascii="Arial" w:hAnsi="Arial" w:hint="cs"/>
          <w:noProof w:val="0"/>
          <w:rtl/>
        </w:rPr>
        <w:t xml:space="preserve"> במאוחד בגדרה הגיעו הצדדים להסכמות דיוניות שעיקרן מינוי שמאי מקרקעין להערכת שווי נכסי הנדל"ן שבבעלותם </w:t>
      </w:r>
      <w:r>
        <w:rPr>
          <w:rFonts w:ascii="Arial" w:hAnsi="Arial" w:hint="cs"/>
          <w:noProof w:val="0"/>
          <w:rtl/>
        </w:rPr>
        <w:lastRenderedPageBreak/>
        <w:t>ומינוי אקטואר להערכת שווי זכויותיהם הפיננסיות ושווי עסקו של המשיב. בית המשפט אישר ההסכמות ונתן להן תוקף של החלטה.</w:t>
      </w:r>
    </w:p>
    <w:p w:rsidR="005A6EEA" w:rsidRDefault="005A6EEA" w:rsidP="005A6EEA">
      <w:pPr>
        <w:pStyle w:val="a4"/>
        <w:spacing w:line="360" w:lineRule="auto"/>
        <w:ind w:left="85"/>
        <w:jc w:val="both"/>
        <w:rPr>
          <w:rFonts w:ascii="Arial" w:hAnsi="Arial"/>
          <w:noProof w:val="0"/>
          <w:rtl/>
        </w:rPr>
      </w:pPr>
    </w:p>
    <w:p w:rsidR="005A6EEA" w:rsidRDefault="005A6EEA" w:rsidP="005A6EEA">
      <w:pPr>
        <w:pStyle w:val="a4"/>
        <w:spacing w:line="360" w:lineRule="auto"/>
        <w:ind w:left="85"/>
        <w:jc w:val="both"/>
        <w:rPr>
          <w:rFonts w:ascii="Arial" w:hAnsi="Arial"/>
          <w:noProof w:val="0"/>
        </w:rPr>
      </w:pPr>
      <w:r>
        <w:rPr>
          <w:rFonts w:ascii="Arial" w:hAnsi="Arial" w:hint="cs"/>
          <w:noProof w:val="0"/>
          <w:rtl/>
        </w:rPr>
        <w:t xml:space="preserve">לאחר הדיון ניתנה החלטה משלימה בזו הלשון: </w:t>
      </w:r>
      <w:r w:rsidRPr="008D16BE">
        <w:rPr>
          <w:rFonts w:ascii="Arial" w:hAnsi="Arial" w:hint="cs"/>
          <w:b/>
          <w:bCs/>
          <w:noProof w:val="0"/>
          <w:rtl/>
        </w:rPr>
        <w:t>"... בטרם תינתן החלטה משלימה בעניין מינוי אקטואר, הצדדים יבהירו, ככל הניתן בהודעת מוסכמת ומשותפת, מהו מועד הקרע וזאת בתוך 7 ימים מהיום"</w:t>
      </w:r>
      <w:r>
        <w:rPr>
          <w:rFonts w:ascii="Arial" w:hAnsi="Arial" w:hint="cs"/>
          <w:noProof w:val="0"/>
          <w:rtl/>
        </w:rPr>
        <w:t xml:space="preserve">. </w:t>
      </w:r>
    </w:p>
    <w:p w:rsidR="005A6EEA" w:rsidRPr="002E4C9A" w:rsidRDefault="005A6EEA" w:rsidP="005A6EEA">
      <w:pPr>
        <w:pStyle w:val="a4"/>
        <w:rPr>
          <w:rFonts w:ascii="Arial" w:hAnsi="Arial"/>
          <w:noProof w:val="0"/>
          <w:rtl/>
        </w:rPr>
      </w:pPr>
    </w:p>
    <w:p w:rsidR="005A6EEA" w:rsidRDefault="005A6EEA" w:rsidP="005A6EEA">
      <w:pPr>
        <w:pStyle w:val="a4"/>
        <w:spacing w:line="360" w:lineRule="auto"/>
        <w:ind w:left="85"/>
        <w:jc w:val="both"/>
        <w:rPr>
          <w:rFonts w:ascii="Arial" w:hAnsi="Arial"/>
          <w:noProof w:val="0"/>
        </w:rPr>
      </w:pPr>
      <w:r>
        <w:rPr>
          <w:rFonts w:ascii="Arial" w:hAnsi="Arial" w:hint="cs"/>
          <w:noProof w:val="0"/>
          <w:rtl/>
        </w:rPr>
        <w:t xml:space="preserve">אליבא </w:t>
      </w:r>
      <w:proofErr w:type="spellStart"/>
      <w:r>
        <w:rPr>
          <w:rFonts w:ascii="Arial" w:hAnsi="Arial" w:hint="cs"/>
          <w:noProof w:val="0"/>
          <w:rtl/>
        </w:rPr>
        <w:t>דמשיב</w:t>
      </w:r>
      <w:proofErr w:type="spellEnd"/>
      <w:r>
        <w:rPr>
          <w:rFonts w:ascii="Arial" w:hAnsi="Arial" w:hint="cs"/>
          <w:noProof w:val="0"/>
          <w:rtl/>
        </w:rPr>
        <w:t xml:space="preserve"> (שהקדים להגיש עמדתו), מועד הרקע הוא יום הגשת הבקשה ליישוב סכסוך ע"י המבקשת - 07.02.2023, שעה שכבר בחודש ינואר אשתקד הוא עזב את בית הצדדים ומאז אין הם מקיימים משק בית משותף. </w:t>
      </w:r>
    </w:p>
    <w:p w:rsidR="005A6EEA" w:rsidRPr="002E4C9A" w:rsidRDefault="005A6EEA" w:rsidP="005A6EEA">
      <w:pPr>
        <w:pStyle w:val="a4"/>
        <w:rPr>
          <w:rFonts w:ascii="Arial" w:hAnsi="Arial"/>
          <w:noProof w:val="0"/>
          <w:rtl/>
        </w:rPr>
      </w:pPr>
    </w:p>
    <w:p w:rsidR="005A6EEA" w:rsidRDefault="005A6EEA" w:rsidP="005A6EEA">
      <w:pPr>
        <w:pStyle w:val="a4"/>
        <w:spacing w:line="360" w:lineRule="auto"/>
        <w:ind w:left="85"/>
        <w:jc w:val="both"/>
        <w:rPr>
          <w:rFonts w:ascii="Arial" w:hAnsi="Arial"/>
          <w:noProof w:val="0"/>
        </w:rPr>
      </w:pPr>
      <w:r>
        <w:rPr>
          <w:rFonts w:ascii="Arial" w:hAnsi="Arial" w:hint="cs"/>
          <w:noProof w:val="0"/>
          <w:rtl/>
        </w:rPr>
        <w:t xml:space="preserve">ואילו אליבא </w:t>
      </w:r>
      <w:proofErr w:type="spellStart"/>
      <w:r>
        <w:rPr>
          <w:rFonts w:ascii="Arial" w:hAnsi="Arial" w:hint="cs"/>
          <w:noProof w:val="0"/>
          <w:rtl/>
        </w:rPr>
        <w:t>דמבקשת</w:t>
      </w:r>
      <w:proofErr w:type="spellEnd"/>
      <w:r>
        <w:rPr>
          <w:rFonts w:ascii="Arial" w:hAnsi="Arial" w:hint="cs"/>
          <w:noProof w:val="0"/>
          <w:rtl/>
        </w:rPr>
        <w:t xml:space="preserve"> מועד הקרע הוא יום גירושי הצדדים זה מזו בגט פיטורין - 23.05.2023, בהתאם </w:t>
      </w:r>
      <w:r w:rsidRPr="00914C29">
        <w:rPr>
          <w:rFonts w:ascii="Arial" w:hAnsi="Arial" w:hint="cs"/>
          <w:noProof w:val="0"/>
          <w:rtl/>
        </w:rPr>
        <w:t>ל</w:t>
      </w:r>
      <w:r>
        <w:rPr>
          <w:rFonts w:ascii="Arial" w:hAnsi="Arial" w:hint="cs"/>
          <w:noProof w:val="0"/>
          <w:rtl/>
        </w:rPr>
        <w:t xml:space="preserve">הוראת </w:t>
      </w:r>
      <w:r w:rsidRPr="00914C29">
        <w:rPr>
          <w:rFonts w:ascii="Arial" w:hAnsi="Arial" w:hint="cs"/>
          <w:noProof w:val="0"/>
          <w:rtl/>
        </w:rPr>
        <w:t xml:space="preserve">סעיף 5 לחוק יחסי ממון בין בני זוג, תשל"ג </w:t>
      </w:r>
      <w:r w:rsidRPr="00914C29">
        <w:rPr>
          <w:rFonts w:ascii="Arial" w:hAnsi="Arial"/>
          <w:noProof w:val="0"/>
          <w:rtl/>
        </w:rPr>
        <w:t>–</w:t>
      </w:r>
      <w:r w:rsidRPr="00914C29">
        <w:rPr>
          <w:rFonts w:ascii="Arial" w:hAnsi="Arial" w:hint="cs"/>
          <w:noProof w:val="0"/>
          <w:rtl/>
        </w:rPr>
        <w:t xml:space="preserve"> 1973</w:t>
      </w:r>
      <w:r w:rsidRPr="002E4C9A">
        <w:rPr>
          <w:rFonts w:ascii="Arial" w:hAnsi="Arial" w:hint="cs"/>
          <w:b/>
          <w:bCs/>
          <w:noProof w:val="0"/>
          <w:rtl/>
        </w:rPr>
        <w:t xml:space="preserve"> </w:t>
      </w:r>
      <w:r>
        <w:rPr>
          <w:rFonts w:ascii="Arial" w:hAnsi="Arial" w:hint="cs"/>
          <w:noProof w:val="0"/>
          <w:rtl/>
        </w:rPr>
        <w:t>(להלן: "</w:t>
      </w:r>
      <w:r w:rsidRPr="002E4C9A">
        <w:rPr>
          <w:rFonts w:ascii="Arial" w:hAnsi="Arial" w:hint="cs"/>
          <w:b/>
          <w:bCs/>
          <w:noProof w:val="0"/>
          <w:rtl/>
        </w:rPr>
        <w:t>חוק</w:t>
      </w:r>
      <w:r>
        <w:rPr>
          <w:rFonts w:ascii="Arial" w:hAnsi="Arial" w:hint="cs"/>
          <w:b/>
          <w:bCs/>
          <w:noProof w:val="0"/>
          <w:rtl/>
        </w:rPr>
        <w:t xml:space="preserve"> יחסי ממון</w:t>
      </w:r>
      <w:r>
        <w:rPr>
          <w:rFonts w:ascii="Arial" w:hAnsi="Arial" w:hint="cs"/>
          <w:noProof w:val="0"/>
          <w:rtl/>
        </w:rPr>
        <w:t xml:space="preserve">"), ובהעדר נסיבות מיוחדות המצדיקות סטייה מן הכלל הקבוע בו. עוד טענה המבקשת, כי בפועל, המשיכו הצדדים לנהל ענייניהם הכלכליים באמצעות החשבון המשותף עד חודש חודש אפריל אשתקד, לפחות, ואף חיוב המשיב במזונות זמניים הוחל מאז. </w:t>
      </w:r>
    </w:p>
    <w:p w:rsidR="005A6EEA" w:rsidRPr="00DE3CA2" w:rsidRDefault="005A6EEA" w:rsidP="005A6EEA">
      <w:pPr>
        <w:pStyle w:val="a4"/>
        <w:rPr>
          <w:rFonts w:ascii="Arial" w:hAnsi="Arial"/>
          <w:noProof w:val="0"/>
          <w:rtl/>
        </w:rPr>
      </w:pPr>
    </w:p>
    <w:p w:rsidR="005A6EEA" w:rsidRPr="006F45C9" w:rsidRDefault="005A6EEA" w:rsidP="005A6EEA">
      <w:pPr>
        <w:pStyle w:val="a4"/>
        <w:spacing w:line="360" w:lineRule="auto"/>
        <w:ind w:left="85"/>
        <w:jc w:val="both"/>
        <w:rPr>
          <w:rFonts w:ascii="Arial" w:hAnsi="Arial"/>
          <w:noProof w:val="0"/>
        </w:rPr>
      </w:pPr>
      <w:r>
        <w:rPr>
          <w:rFonts w:ascii="Arial" w:hAnsi="Arial" w:hint="cs"/>
          <w:noProof w:val="0"/>
          <w:rtl/>
        </w:rPr>
        <w:t xml:space="preserve">על יסוד האמור ניתנה </w:t>
      </w:r>
      <w:r w:rsidRPr="006F45C9">
        <w:rPr>
          <w:rFonts w:ascii="Arial" w:hAnsi="Arial" w:hint="cs"/>
          <w:noProof w:val="0"/>
          <w:rtl/>
        </w:rPr>
        <w:t xml:space="preserve">ביום </w:t>
      </w:r>
      <w:r>
        <w:rPr>
          <w:rFonts w:ascii="Arial" w:hAnsi="Arial" w:hint="cs"/>
          <w:noProof w:val="0"/>
          <w:rtl/>
        </w:rPr>
        <w:t>04</w:t>
      </w:r>
      <w:r w:rsidRPr="006F45C9">
        <w:rPr>
          <w:rFonts w:ascii="Arial" w:hAnsi="Arial" w:hint="cs"/>
          <w:noProof w:val="0"/>
          <w:rtl/>
        </w:rPr>
        <w:t>.</w:t>
      </w:r>
      <w:r>
        <w:rPr>
          <w:rFonts w:ascii="Arial" w:hAnsi="Arial" w:hint="cs"/>
          <w:noProof w:val="0"/>
          <w:rtl/>
        </w:rPr>
        <w:t>03</w:t>
      </w:r>
      <w:r w:rsidRPr="006F45C9">
        <w:rPr>
          <w:rFonts w:ascii="Arial" w:hAnsi="Arial" w:hint="cs"/>
          <w:noProof w:val="0"/>
          <w:rtl/>
        </w:rPr>
        <w:t>.</w:t>
      </w:r>
      <w:r>
        <w:rPr>
          <w:rFonts w:ascii="Arial" w:hAnsi="Arial" w:hint="cs"/>
          <w:noProof w:val="0"/>
          <w:rtl/>
        </w:rPr>
        <w:t>2024</w:t>
      </w:r>
      <w:r w:rsidRPr="006F45C9">
        <w:rPr>
          <w:rFonts w:ascii="Arial" w:hAnsi="Arial" w:hint="cs"/>
          <w:noProof w:val="0"/>
          <w:rtl/>
        </w:rPr>
        <w:t xml:space="preserve"> ההחלטה </w:t>
      </w:r>
      <w:r>
        <w:rPr>
          <w:rFonts w:ascii="Arial" w:hAnsi="Arial" w:hint="cs"/>
          <w:noProof w:val="0"/>
          <w:rtl/>
        </w:rPr>
        <w:t>מ</w:t>
      </w:r>
      <w:r w:rsidRPr="006F45C9">
        <w:rPr>
          <w:rFonts w:ascii="Arial" w:hAnsi="Arial" w:hint="cs"/>
          <w:noProof w:val="0"/>
          <w:rtl/>
        </w:rPr>
        <w:t xml:space="preserve">ושא בקשת רשות הערעור שלפנינו בגדרה נקבע לאמור: </w:t>
      </w:r>
      <w:r w:rsidRPr="006F45C9">
        <w:rPr>
          <w:rFonts w:ascii="Arial" w:hAnsi="Arial" w:hint="cs"/>
          <w:b/>
          <w:bCs/>
          <w:noProof w:val="0"/>
          <w:rtl/>
        </w:rPr>
        <w:t>"</w:t>
      </w:r>
      <w:r>
        <w:rPr>
          <w:rFonts w:ascii="Arial" w:hAnsi="Arial" w:hint="cs"/>
          <w:b/>
          <w:bCs/>
          <w:noProof w:val="0"/>
          <w:rtl/>
        </w:rPr>
        <w:t>בהמשך להחלטתי מיום 21.02.2024 ולאחר שעיינתי בתגובות הצדדים ובשעה שאין מחלוקת ביחס למועד עזיבת הנתבע את הבית המשותף (בחודש ינואר 2023) ולנוכח מועד הגשת הבקשה ליישוב סכסוך (7.2.2023), לצרכי נוחות, אני קובע את מועד הקרע ליום 1.2.2023. ככל שיש למי מהצדדים טענות ביחס לתשלומים ששולמו על ידם לאחר מועד הקרע, הרי שטענות אלה יתבררו בהמשך ההליך...</w:t>
      </w:r>
      <w:r w:rsidRPr="006F45C9">
        <w:rPr>
          <w:rFonts w:ascii="Arial" w:hAnsi="Arial" w:hint="cs"/>
          <w:b/>
          <w:bCs/>
          <w:noProof w:val="0"/>
          <w:rtl/>
        </w:rPr>
        <w:t>"</w:t>
      </w:r>
      <w:r w:rsidRPr="006F45C9">
        <w:rPr>
          <w:rFonts w:ascii="Arial" w:hAnsi="Arial" w:hint="cs"/>
          <w:noProof w:val="0"/>
          <w:rtl/>
        </w:rPr>
        <w:t xml:space="preserve">.  </w:t>
      </w:r>
    </w:p>
    <w:p w:rsidR="005A6EEA" w:rsidRPr="00A21EC8" w:rsidRDefault="005A6EEA" w:rsidP="005A6EEA">
      <w:pPr>
        <w:pStyle w:val="a4"/>
        <w:rPr>
          <w:rFonts w:ascii="Arial" w:hAnsi="Arial"/>
          <w:noProof w:val="0"/>
          <w:rtl/>
        </w:rPr>
      </w:pPr>
    </w:p>
    <w:p w:rsidR="005A6EEA" w:rsidRDefault="005A6EEA" w:rsidP="005A6EEA">
      <w:pPr>
        <w:pStyle w:val="a4"/>
        <w:spacing w:line="360" w:lineRule="auto"/>
        <w:ind w:left="85"/>
        <w:jc w:val="both"/>
        <w:rPr>
          <w:rFonts w:ascii="Arial" w:hAnsi="Arial"/>
          <w:noProof w:val="0"/>
        </w:rPr>
      </w:pPr>
      <w:r>
        <w:rPr>
          <w:rFonts w:ascii="Arial" w:hAnsi="Arial" w:hint="cs"/>
          <w:noProof w:val="0"/>
          <w:rtl/>
        </w:rPr>
        <w:t xml:space="preserve">המבקשת לא השלימה עם ההחלטה והגישה בקשת רשות הערעור שלפנינו.  </w:t>
      </w:r>
    </w:p>
    <w:p w:rsidR="005A6EEA" w:rsidRPr="0065738F" w:rsidRDefault="005A6EEA" w:rsidP="005A6EEA">
      <w:pPr>
        <w:rPr>
          <w:rFonts w:ascii="Arial" w:hAnsi="Arial"/>
          <w:noProof w:val="0"/>
          <w:rtl/>
        </w:rPr>
      </w:pPr>
    </w:p>
    <w:p w:rsidR="005A6EEA" w:rsidRDefault="005A6EEA" w:rsidP="005A6EEA">
      <w:pPr>
        <w:pStyle w:val="a4"/>
        <w:spacing w:line="360" w:lineRule="auto"/>
        <w:ind w:left="85"/>
        <w:jc w:val="both"/>
        <w:rPr>
          <w:rFonts w:ascii="Arial" w:hAnsi="Arial"/>
          <w:noProof w:val="0"/>
        </w:rPr>
      </w:pPr>
      <w:r>
        <w:rPr>
          <w:rFonts w:ascii="Arial" w:hAnsi="Arial" w:hint="cs"/>
          <w:noProof w:val="0"/>
          <w:rtl/>
        </w:rPr>
        <w:t xml:space="preserve">בהתאם להחלטה המורה לו לעשות כן, הגיש המשיב תשובה לבקשת רשות הערעור, ומכאן ההחלטה דנא.  </w:t>
      </w:r>
    </w:p>
    <w:p w:rsidR="005A6EEA" w:rsidRPr="001F2AAF" w:rsidRDefault="005A6EEA" w:rsidP="005A6EEA">
      <w:pPr>
        <w:pStyle w:val="a4"/>
        <w:rPr>
          <w:rFonts w:ascii="Arial" w:hAnsi="Arial"/>
          <w:noProof w:val="0"/>
          <w:rtl/>
        </w:rPr>
      </w:pPr>
    </w:p>
    <w:p w:rsidR="005A6EEA" w:rsidRDefault="005A6EEA" w:rsidP="005A6EEA">
      <w:pPr>
        <w:pStyle w:val="a4"/>
        <w:spacing w:after="160" w:line="360" w:lineRule="auto"/>
        <w:ind w:left="85"/>
        <w:jc w:val="both"/>
        <w:rPr>
          <w:rFonts w:ascii="David" w:eastAsia="Calibri" w:hAnsi="David"/>
          <w:b/>
          <w:bCs/>
          <w:noProof w:val="0"/>
          <w:sz w:val="26"/>
          <w:szCs w:val="26"/>
          <w:u w:val="single"/>
          <w:rtl/>
        </w:rPr>
      </w:pPr>
      <w:r>
        <w:rPr>
          <w:rFonts w:ascii="David" w:eastAsia="Calibri" w:hAnsi="David"/>
          <w:b/>
          <w:bCs/>
          <w:noProof w:val="0"/>
          <w:sz w:val="26"/>
          <w:szCs w:val="26"/>
          <w:u w:val="single"/>
          <w:rtl/>
        </w:rPr>
        <w:t>תמצית טענות הצדדים</w:t>
      </w:r>
      <w:r>
        <w:rPr>
          <w:rFonts w:ascii="David" w:eastAsia="Calibri" w:hAnsi="David" w:hint="cs"/>
          <w:b/>
          <w:bCs/>
          <w:noProof w:val="0"/>
          <w:sz w:val="26"/>
          <w:szCs w:val="26"/>
          <w:u w:val="single"/>
          <w:rtl/>
        </w:rPr>
        <w:t xml:space="preserve"> בהליך שלפנינו</w:t>
      </w:r>
    </w:p>
    <w:p w:rsidR="005A6EEA" w:rsidRDefault="005A6EEA" w:rsidP="005A6EEA">
      <w:pPr>
        <w:pStyle w:val="a4"/>
        <w:spacing w:line="360" w:lineRule="auto"/>
        <w:ind w:left="85"/>
        <w:jc w:val="both"/>
        <w:rPr>
          <w:rFonts w:ascii="Arial" w:hAnsi="Arial"/>
          <w:b/>
          <w:bCs/>
          <w:noProof w:val="0"/>
          <w:rtl/>
        </w:rPr>
      </w:pPr>
    </w:p>
    <w:p w:rsidR="005A6EEA" w:rsidRDefault="005A6EEA" w:rsidP="005A6EEA">
      <w:pPr>
        <w:pStyle w:val="a4"/>
        <w:spacing w:line="360" w:lineRule="auto"/>
        <w:ind w:left="85"/>
        <w:jc w:val="both"/>
        <w:rPr>
          <w:rFonts w:ascii="Arial" w:hAnsi="Arial"/>
          <w:noProof w:val="0"/>
        </w:rPr>
      </w:pPr>
      <w:r w:rsidRPr="00853937">
        <w:rPr>
          <w:rFonts w:ascii="Arial" w:hAnsi="Arial" w:hint="cs"/>
          <w:b/>
          <w:bCs/>
          <w:noProof w:val="0"/>
          <w:rtl/>
        </w:rPr>
        <w:t>לטענת המבקש</w:t>
      </w:r>
      <w:r w:rsidRPr="00DC019D">
        <w:rPr>
          <w:rFonts w:ascii="Arial" w:hAnsi="Arial" w:hint="cs"/>
          <w:b/>
          <w:bCs/>
          <w:noProof w:val="0"/>
          <w:rtl/>
        </w:rPr>
        <w:t>ת</w:t>
      </w:r>
      <w:r>
        <w:rPr>
          <w:rFonts w:ascii="Arial" w:hAnsi="Arial" w:hint="cs"/>
          <w:noProof w:val="0"/>
          <w:rtl/>
        </w:rPr>
        <w:t xml:space="preserve">, בסעיף 5(א) לחוק יחסי ממון נקבע, כי ברירת המחדל לעניין המועד לביצוע איזון המשאבים היא יום פקיעת הנישואין, ועל המבקש לסטות ממנה להצביע על נסיבות מיוחדות המצדיקות זאת. המשיב לא עמד בנטל זה ושגה בית המשפט קמא עת בחר לאמץ עמדתו תוך שמועד הקרע נקבע ביום 01.02.2023 "לצרכי נוחות"; לדידה, שגה בית המשפט קמא בקבעו את מועד הקרע באופן שרירותי ובהעדר הנמקה, הגם שמדובר בעניין מהותי, שלו השפעה מכרעת על כלל ההליכים התלויים ועומדים בין הצדדים, לרבות תביעת המשיב לדמי שימוש וזכויותיה ברווחי ההון שהניב הסחר במניות שמחזיק המשיב עד מועד הגירושין, ומשכך, לשיטתה, הותרת ההחלטה על כנה תוך המתנה לפסק הדין, עלולה לגרום נזק בלתי הפיך; עוד נטען על ידה, במישור העובדתי, כי עד חודש מאי אשתקד ניהלו הצדדים כלל ענייניהם הכלכליים באמצעות חשבון הבנק המשותף, וכי רק לאחר גירושיהם, בחודש יוני אשתקד, שכר המשיב דירה למגוריו; כי חיוב המשיב </w:t>
      </w:r>
      <w:r>
        <w:rPr>
          <w:rFonts w:ascii="Arial" w:hAnsi="Arial" w:hint="cs"/>
          <w:noProof w:val="0"/>
          <w:rtl/>
        </w:rPr>
        <w:lastRenderedPageBreak/>
        <w:t>במזונותיהם הזמניים של ילדי הצדדים היה מחודש אפריל אשתקד, הגם שהיא עתרה לחיובו ממועד פתיחת ההליך ליישוב הסכסוך; לטענתה, לאחר עזיבת המשיב את הבית המשותף היא המשיכה לשאת בגפה בתשלומים השוטפים לכלכלת ילדיהם ובהוצאות המדור והחזקתו, ויש לחייב המשיב להשיב לה מחצית מן הסכומים בהם נשאה.</w:t>
      </w:r>
    </w:p>
    <w:p w:rsidR="005A6EEA" w:rsidRDefault="005A6EEA" w:rsidP="005A6EEA">
      <w:pPr>
        <w:pStyle w:val="a4"/>
        <w:spacing w:line="360" w:lineRule="auto"/>
        <w:ind w:left="85"/>
        <w:jc w:val="both"/>
        <w:rPr>
          <w:rFonts w:ascii="Arial" w:hAnsi="Arial"/>
          <w:noProof w:val="0"/>
          <w:rtl/>
        </w:rPr>
      </w:pPr>
      <w:r>
        <w:rPr>
          <w:rFonts w:ascii="Arial" w:hAnsi="Arial" w:hint="cs"/>
          <w:noProof w:val="0"/>
          <w:rtl/>
        </w:rPr>
        <w:t xml:space="preserve">לפיכך עותרת המבקשת לקבלת רשות ערעור על ההחלטה, להורות על ביטולה ולקבוע, כי מועד הקרע הוא ביום גירושי הצדדים, תוך חיוב המשיב בהוצאות משפט. </w:t>
      </w:r>
    </w:p>
    <w:p w:rsidR="005A6EEA" w:rsidRDefault="005A6EEA" w:rsidP="005A6EEA">
      <w:pPr>
        <w:pStyle w:val="a4"/>
        <w:ind w:left="1080"/>
        <w:jc w:val="both"/>
        <w:rPr>
          <w:rFonts w:ascii="Arial" w:hAnsi="Arial"/>
          <w:noProof w:val="0"/>
        </w:rPr>
      </w:pPr>
    </w:p>
    <w:p w:rsidR="005A6EEA" w:rsidRPr="003957BB" w:rsidRDefault="005A6EEA" w:rsidP="005A6EEA">
      <w:pPr>
        <w:pStyle w:val="a4"/>
        <w:spacing w:after="160" w:line="360" w:lineRule="auto"/>
        <w:ind w:left="85"/>
        <w:jc w:val="both"/>
        <w:rPr>
          <w:rFonts w:ascii="David" w:eastAsia="Calibri" w:hAnsi="David"/>
          <w:noProof w:val="0"/>
          <w:u w:val="single"/>
        </w:rPr>
      </w:pPr>
      <w:r w:rsidRPr="0033456D">
        <w:rPr>
          <w:rFonts w:ascii="Arial" w:hAnsi="Arial"/>
          <w:b/>
          <w:bCs/>
          <w:noProof w:val="0"/>
          <w:rtl/>
        </w:rPr>
        <w:t>המשיב</w:t>
      </w:r>
      <w:r w:rsidRPr="0033456D">
        <w:rPr>
          <w:rFonts w:ascii="Arial" w:hAnsi="Arial"/>
          <w:noProof w:val="0"/>
          <w:rtl/>
        </w:rPr>
        <w:t xml:space="preserve"> מצד</w:t>
      </w:r>
      <w:r>
        <w:rPr>
          <w:rFonts w:ascii="Arial" w:hAnsi="Arial" w:hint="cs"/>
          <w:noProof w:val="0"/>
          <w:rtl/>
        </w:rPr>
        <w:t>ו</w:t>
      </w:r>
      <w:r w:rsidRPr="0033456D">
        <w:rPr>
          <w:rFonts w:ascii="Arial" w:hAnsi="Arial"/>
          <w:noProof w:val="0"/>
          <w:rtl/>
        </w:rPr>
        <w:t xml:space="preserve"> טוע</w:t>
      </w:r>
      <w:r>
        <w:rPr>
          <w:rFonts w:ascii="Arial" w:hAnsi="Arial" w:hint="cs"/>
          <w:noProof w:val="0"/>
          <w:rtl/>
        </w:rPr>
        <w:t>ן</w:t>
      </w:r>
      <w:r w:rsidRPr="0033456D">
        <w:rPr>
          <w:rFonts w:ascii="Arial" w:hAnsi="Arial"/>
          <w:noProof w:val="0"/>
          <w:rtl/>
        </w:rPr>
        <w:t xml:space="preserve">, כי </w:t>
      </w:r>
      <w:r>
        <w:rPr>
          <w:rFonts w:ascii="Arial" w:hAnsi="Arial" w:hint="cs"/>
          <w:noProof w:val="0"/>
          <w:rtl/>
        </w:rPr>
        <w:t xml:space="preserve">דין הבקשה להידחות על הסף בהיותה קנטרנית וטורדנית ובהעדר הצדקה להתערבות ערכאת הערעור בהחלטת ביניים נוכח מרחב שיקול הדעת של הערכאה הדיונית </w:t>
      </w:r>
      <w:proofErr w:type="spellStart"/>
      <w:r>
        <w:rPr>
          <w:rFonts w:ascii="Arial" w:hAnsi="Arial" w:hint="cs"/>
          <w:noProof w:val="0"/>
          <w:rtl/>
        </w:rPr>
        <w:t>בכגון</w:t>
      </w:r>
      <w:proofErr w:type="spellEnd"/>
      <w:r>
        <w:rPr>
          <w:rFonts w:ascii="Arial" w:hAnsi="Arial" w:hint="cs"/>
          <w:noProof w:val="0"/>
          <w:rtl/>
        </w:rPr>
        <w:t xml:space="preserve"> דא; לדידו, גם לגוף העניין דין הבקשה להידחות משאין מחלוקת, כי הוא עזב את הבית המשותף בחודש ינואר אשתקד ובדין נקבע, כי המועד בו נפתח הליך יישוב הסכסוך הוא מועד הקרע בנסיבות המקרה דנא; לדידו, בהתאם להוראת סעיף 5א לחוק יחסי ממון, מסור לבית המשפט שיקול דעת להקדמת המועד לאיזון המשאבים בהתקיים נסיבות המצדיקות זאת כבמקרה דנא. מועד הגירושין הוא פורמלי בלבד, שעה שהצדדים ניהלו ענייניהם הכלכליים בנפרד מאז הוא עזב את הבית המשותף. יתר על כן, המבקשת עצמה הפסיקה להעביר הכנסותיה לחשבון הבנק המשותף מאז חודש ינואר אשתקד </w:t>
      </w:r>
      <w:r>
        <w:rPr>
          <w:rFonts w:ascii="Arial" w:hAnsi="Arial"/>
          <w:noProof w:val="0"/>
          <w:rtl/>
        </w:rPr>
        <w:t>–</w:t>
      </w:r>
      <w:r>
        <w:rPr>
          <w:rFonts w:ascii="Arial" w:hAnsi="Arial" w:hint="cs"/>
          <w:noProof w:val="0"/>
          <w:rtl/>
        </w:rPr>
        <w:t xml:space="preserve"> עובדה המלמדת, כי היא עצמה ראתה במועד זה מועד הקרע כמשמעותו בחוק יחסי ממון; בנסיבות המקרה שלפנינו וברוח הפסיקה העוסקת בכך ניתן לקבוע בבירור, שמאז חודש ינואר אשתקד נוצר קרע כלכלי מוחלט ובלתי ניתן לאיחוי בין הצדדים; בשורה של פסקי דין נקבע מועד הקרע כמועד בו נפתחו ההליכים המשפטיים בין בני הזוג; השימוש שנעשה ע"י בית המשפט קמא במטבע הלשון "מטעמי נוחות" משמעו קביעת מועד הקרע לראשית חודש פברואר ולא למועד בו נפתח הליך יישוב הסכסוך (07.02) על מנת לפשט מלאכת האיזון בזכויותיהם הסוציאליות של הצדדים; בהתייחס למועד הקרע אין כל רלוונטיות למועד בו שכר המשיב דירה למגוריו, שעה שאין חולק, כי כבר בחודש ינואר אשתקד הוא עזב את בית הצדדים. הוא הדין גם לעניין תחילת החיוב במזונות זמניים.</w:t>
      </w:r>
    </w:p>
    <w:p w:rsidR="005A6EEA" w:rsidRDefault="005A6EEA" w:rsidP="005A6EEA">
      <w:pPr>
        <w:pStyle w:val="a4"/>
        <w:spacing w:after="160" w:line="360" w:lineRule="auto"/>
        <w:ind w:left="85"/>
        <w:jc w:val="both"/>
        <w:rPr>
          <w:rFonts w:ascii="David" w:eastAsia="Calibri" w:hAnsi="David"/>
          <w:noProof w:val="0"/>
          <w:u w:val="single"/>
        </w:rPr>
      </w:pPr>
      <w:r>
        <w:rPr>
          <w:rFonts w:ascii="Arial" w:hAnsi="Arial" w:hint="cs"/>
          <w:noProof w:val="0"/>
          <w:rtl/>
        </w:rPr>
        <w:t>על יסוד האמור לא נפלה, לדידו, שגגה בהחלטת בית המשפט קמא, ולכן עותר המשיב לד</w:t>
      </w:r>
      <w:r w:rsidRPr="0033456D">
        <w:rPr>
          <w:rFonts w:ascii="Arial" w:hAnsi="Arial"/>
          <w:noProof w:val="0"/>
          <w:rtl/>
        </w:rPr>
        <w:t>חיית הבקשה</w:t>
      </w:r>
      <w:r>
        <w:rPr>
          <w:rFonts w:ascii="Arial" w:hAnsi="Arial" w:hint="cs"/>
          <w:noProof w:val="0"/>
          <w:rtl/>
        </w:rPr>
        <w:t>, תוך חיוב המבקשת בהוצאות משפט</w:t>
      </w:r>
      <w:r w:rsidRPr="0033456D">
        <w:rPr>
          <w:rFonts w:ascii="Arial" w:hAnsi="Arial" w:hint="cs"/>
          <w:noProof w:val="0"/>
          <w:rtl/>
        </w:rPr>
        <w:t>.</w:t>
      </w:r>
      <w:r w:rsidRPr="0033456D">
        <w:rPr>
          <w:rFonts w:ascii="Arial" w:hAnsi="Arial"/>
          <w:noProof w:val="0"/>
          <w:rtl/>
        </w:rPr>
        <w:t xml:space="preserve"> </w:t>
      </w:r>
    </w:p>
    <w:p w:rsidR="005A6EEA" w:rsidRDefault="005A6EEA" w:rsidP="005A6EEA">
      <w:pPr>
        <w:pStyle w:val="a4"/>
        <w:spacing w:after="160" w:line="360" w:lineRule="auto"/>
        <w:ind w:left="85"/>
        <w:jc w:val="both"/>
        <w:rPr>
          <w:rFonts w:ascii="David" w:eastAsia="Calibri" w:hAnsi="David"/>
          <w:noProof w:val="0"/>
          <w:u w:val="single"/>
        </w:rPr>
      </w:pPr>
    </w:p>
    <w:p w:rsidR="005A6EEA" w:rsidRDefault="005A6EEA" w:rsidP="005A6EEA">
      <w:pPr>
        <w:pStyle w:val="a4"/>
        <w:spacing w:after="160" w:line="360" w:lineRule="auto"/>
        <w:ind w:left="85"/>
        <w:jc w:val="both"/>
        <w:rPr>
          <w:rFonts w:ascii="David" w:eastAsia="Calibri" w:hAnsi="David"/>
          <w:b/>
          <w:bCs/>
          <w:noProof w:val="0"/>
          <w:sz w:val="26"/>
          <w:szCs w:val="26"/>
          <w:u w:val="single"/>
        </w:rPr>
      </w:pPr>
      <w:r>
        <w:rPr>
          <w:rFonts w:ascii="David" w:eastAsia="Calibri" w:hAnsi="David"/>
          <w:b/>
          <w:bCs/>
          <w:noProof w:val="0"/>
          <w:sz w:val="26"/>
          <w:szCs w:val="26"/>
          <w:u w:val="single"/>
          <w:rtl/>
        </w:rPr>
        <w:t>דיון והכרעה</w:t>
      </w:r>
    </w:p>
    <w:p w:rsidR="005A6EEA" w:rsidRDefault="005A6EEA" w:rsidP="005A6EEA">
      <w:pPr>
        <w:pStyle w:val="a4"/>
        <w:spacing w:after="160"/>
        <w:jc w:val="both"/>
        <w:rPr>
          <w:rFonts w:ascii="David" w:eastAsia="Calibri" w:hAnsi="David"/>
          <w:b/>
          <w:bCs/>
          <w:noProof w:val="0"/>
          <w:sz w:val="26"/>
          <w:szCs w:val="26"/>
          <w:u w:val="single"/>
          <w:rtl/>
        </w:rPr>
      </w:pPr>
    </w:p>
    <w:p w:rsidR="005A6EEA" w:rsidRPr="00FD037E" w:rsidRDefault="005A6EEA" w:rsidP="005A6EEA">
      <w:pPr>
        <w:pStyle w:val="a4"/>
        <w:spacing w:line="360" w:lineRule="auto"/>
        <w:ind w:left="85"/>
        <w:jc w:val="both"/>
        <w:rPr>
          <w:rFonts w:ascii="Arial" w:hAnsi="Arial"/>
          <w:noProof w:val="0"/>
        </w:rPr>
      </w:pPr>
      <w:r w:rsidRPr="00FD037E">
        <w:rPr>
          <w:rFonts w:ascii="Arial" w:hAnsi="Arial"/>
          <w:b/>
          <w:bCs/>
          <w:noProof w:val="0"/>
          <w:rtl/>
        </w:rPr>
        <w:t>על יסוד תקנה 138(א)(5) לתקנות סדר הדין האזרחי, תשע"ט-2018 ולאחר עיון באשר מונח לפניי ובתיקים המתנהלים בבית המשפט קמא, מצאתי לדחות הבקשה מהנימוקים שיובאו להלן.</w:t>
      </w:r>
    </w:p>
    <w:p w:rsidR="005A6EEA" w:rsidRPr="00FD037E" w:rsidRDefault="005A6EEA" w:rsidP="005A6EEA">
      <w:pPr>
        <w:pStyle w:val="a4"/>
        <w:ind w:left="786"/>
        <w:jc w:val="both"/>
        <w:rPr>
          <w:rFonts w:ascii="Arial" w:hAnsi="Arial"/>
          <w:b/>
          <w:bCs/>
          <w:noProof w:val="0"/>
        </w:rPr>
      </w:pPr>
    </w:p>
    <w:p w:rsidR="005A6EEA" w:rsidRDefault="005A6EEA" w:rsidP="005A6EEA">
      <w:pPr>
        <w:pStyle w:val="a4"/>
        <w:spacing w:line="360" w:lineRule="auto"/>
        <w:ind w:left="85"/>
        <w:jc w:val="both"/>
        <w:rPr>
          <w:rFonts w:ascii="Arial" w:hAnsi="Arial"/>
          <w:b/>
          <w:bCs/>
          <w:noProof w:val="0"/>
        </w:rPr>
      </w:pPr>
      <w:r>
        <w:rPr>
          <w:rFonts w:ascii="Arial" w:hAnsi="Arial" w:hint="cs"/>
          <w:noProof w:val="0"/>
          <w:rtl/>
        </w:rPr>
        <w:t xml:space="preserve">ככלל ובהתאם להוראת סעיף 5 לחוק יחסי ממון, המועד הקובע לביצוע איזון המשאבים הוא מועד פקיעת הנישואין. </w:t>
      </w:r>
    </w:p>
    <w:p w:rsidR="005A6EEA" w:rsidRPr="00DE5A9B" w:rsidRDefault="005A6EEA" w:rsidP="005A6EEA">
      <w:pPr>
        <w:pStyle w:val="a4"/>
        <w:rPr>
          <w:rFonts w:ascii="Arial" w:hAnsi="Arial"/>
          <w:b/>
          <w:bCs/>
          <w:noProof w:val="0"/>
          <w:rtl/>
        </w:rPr>
      </w:pPr>
    </w:p>
    <w:p w:rsidR="005A6EEA" w:rsidRDefault="005A6EEA" w:rsidP="005A6EEA">
      <w:pPr>
        <w:pStyle w:val="a4"/>
        <w:spacing w:line="360" w:lineRule="auto"/>
        <w:ind w:left="85"/>
        <w:jc w:val="both"/>
        <w:rPr>
          <w:rFonts w:ascii="Arial" w:hAnsi="Arial"/>
          <w:noProof w:val="0"/>
        </w:rPr>
      </w:pPr>
      <w:r w:rsidRPr="00DE5A9B">
        <w:rPr>
          <w:rFonts w:ascii="Arial" w:hAnsi="Arial" w:hint="cs"/>
          <w:noProof w:val="0"/>
          <w:rtl/>
        </w:rPr>
        <w:t xml:space="preserve">עד </w:t>
      </w:r>
      <w:r w:rsidRPr="004168E7">
        <w:rPr>
          <w:rFonts w:ascii="Arial" w:hAnsi="Arial" w:hint="cs"/>
          <w:noProof w:val="0"/>
          <w:rtl/>
        </w:rPr>
        <w:t>לתיקון</w:t>
      </w:r>
      <w:r>
        <w:rPr>
          <w:rFonts w:ascii="Arial" w:hAnsi="Arial" w:hint="cs"/>
          <w:noProof w:val="0"/>
          <w:rtl/>
        </w:rPr>
        <w:t xml:space="preserve"> מס'</w:t>
      </w:r>
      <w:r w:rsidRPr="004168E7">
        <w:rPr>
          <w:rFonts w:ascii="Arial" w:hAnsi="Arial" w:hint="cs"/>
          <w:noProof w:val="0"/>
          <w:rtl/>
        </w:rPr>
        <w:t xml:space="preserve"> 4 לחוק</w:t>
      </w:r>
      <w:r>
        <w:rPr>
          <w:rFonts w:ascii="Arial" w:hAnsi="Arial" w:hint="cs"/>
          <w:noProof w:val="0"/>
          <w:rtl/>
        </w:rPr>
        <w:t xml:space="preserve"> (משנת 2008), במסגרתו התווסף לו </w:t>
      </w:r>
      <w:r w:rsidRPr="004168E7">
        <w:rPr>
          <w:rFonts w:ascii="Arial" w:hAnsi="Arial" w:hint="cs"/>
          <w:noProof w:val="0"/>
          <w:rtl/>
        </w:rPr>
        <w:t>סעיף 5א</w:t>
      </w:r>
      <w:r>
        <w:rPr>
          <w:rFonts w:ascii="Arial" w:hAnsi="Arial" w:hint="cs"/>
          <w:noProof w:val="0"/>
          <w:rtl/>
        </w:rPr>
        <w:t xml:space="preserve">, המועד היחיד בו יכולים היו בני זוג לממש את זכותם לאיזון המשאבים היה מועד פקיעת הנישואין. הוספת הסעיף נתנה בידי כל אחד מבני הזוג האפשרות לעתור להקדמת המועד למימוש הזכות לאיזון המשאבים. לצד זאת חשוב להבהיר כבר כעת, כי יש להבחין בין המועד למימוש הזכות לאיזון המשאבים ובין המועד </w:t>
      </w:r>
      <w:r>
        <w:rPr>
          <w:rFonts w:ascii="Arial" w:hAnsi="Arial" w:hint="cs"/>
          <w:noProof w:val="0"/>
          <w:rtl/>
        </w:rPr>
        <w:lastRenderedPageBreak/>
        <w:t xml:space="preserve">הקובע לצורך עריכת האיזון האמור (מועד הקרע), ואין המדובר בנקודות זמן הזהות זו לזו על ציר הזמן. </w:t>
      </w:r>
    </w:p>
    <w:p w:rsidR="005A6EEA" w:rsidRPr="00652AA3" w:rsidRDefault="005A6EEA" w:rsidP="005A6EEA">
      <w:pPr>
        <w:pStyle w:val="a4"/>
        <w:ind w:left="85"/>
        <w:rPr>
          <w:rFonts w:ascii="Arial" w:hAnsi="Arial"/>
          <w:noProof w:val="0"/>
          <w:rtl/>
        </w:rPr>
      </w:pPr>
    </w:p>
    <w:p w:rsidR="005A6EEA" w:rsidRDefault="005A6EEA" w:rsidP="005A6EEA">
      <w:pPr>
        <w:pStyle w:val="a4"/>
        <w:spacing w:line="360" w:lineRule="auto"/>
        <w:ind w:left="85"/>
        <w:jc w:val="both"/>
        <w:rPr>
          <w:rFonts w:ascii="Arial" w:hAnsi="Arial"/>
          <w:noProof w:val="0"/>
        </w:rPr>
      </w:pPr>
      <w:r>
        <w:rPr>
          <w:rFonts w:ascii="Arial" w:hAnsi="Arial" w:hint="cs"/>
          <w:noProof w:val="0"/>
          <w:rtl/>
        </w:rPr>
        <w:t>בסעיף 5א(א) לחוק יחסי ממון נקבע לאמור:</w:t>
      </w:r>
    </w:p>
    <w:p w:rsidR="005A6EEA" w:rsidRDefault="005A6EEA" w:rsidP="005A6EEA">
      <w:pPr>
        <w:spacing w:line="360" w:lineRule="auto"/>
        <w:rPr>
          <w:rtl/>
        </w:rPr>
      </w:pPr>
    </w:p>
    <w:p w:rsidR="005A6EEA" w:rsidRDefault="005A6EEA" w:rsidP="005A6EEA">
      <w:pPr>
        <w:widowControl w:val="0"/>
        <w:tabs>
          <w:tab w:val="left" w:pos="652"/>
          <w:tab w:val="left" w:pos="1275"/>
          <w:tab w:val="left" w:pos="1474"/>
          <w:tab w:val="left" w:pos="1644"/>
          <w:tab w:val="left" w:pos="1928"/>
          <w:tab w:val="left" w:pos="2835"/>
          <w:tab w:val="right" w:leader="dot" w:pos="6259"/>
        </w:tabs>
        <w:suppressAutoHyphens/>
        <w:autoSpaceDE w:val="0"/>
        <w:autoSpaceDN w:val="0"/>
        <w:spacing w:before="72" w:line="360" w:lineRule="auto"/>
        <w:ind w:left="1644" w:right="567" w:hanging="1644"/>
        <w:jc w:val="both"/>
        <w:rPr>
          <w:b/>
          <w:bCs/>
          <w:rtl/>
          <w:lang w:eastAsia="he-IL"/>
        </w:rPr>
      </w:pPr>
      <w:r>
        <w:rPr>
          <w:rtl/>
          <w:lang w:eastAsia="he-IL"/>
        </w:rPr>
        <w:tab/>
        <w:t>"</w:t>
      </w:r>
      <w:r>
        <w:rPr>
          <w:b/>
          <w:bCs/>
          <w:rtl/>
          <w:lang w:eastAsia="he-IL"/>
        </w:rPr>
        <w:t>5א.   (א)</w:t>
      </w:r>
      <w:r>
        <w:rPr>
          <w:rFonts w:hint="cs"/>
          <w:b/>
          <w:bCs/>
          <w:rtl/>
          <w:lang w:eastAsia="he-IL"/>
        </w:rPr>
        <w:t xml:space="preserve"> </w:t>
      </w:r>
      <w:r>
        <w:rPr>
          <w:b/>
          <w:bCs/>
          <w:rtl/>
          <w:lang w:eastAsia="he-IL"/>
        </w:rPr>
        <w:t>הזכות לאיזון משאבים לפי סעיף 5 תהיה לכל אחד מבני הזוג אף בטרם פקיעת הנישואין אם הוגשה בקשה לביצועו של הסדר איזון משאבים לפי פרק זה והתקיים אחד מהתנאים המפורטים להלן:</w:t>
      </w:r>
    </w:p>
    <w:p w:rsidR="005A6EEA" w:rsidRDefault="005A6EEA" w:rsidP="005A6EEA">
      <w:pPr>
        <w:widowControl w:val="0"/>
        <w:tabs>
          <w:tab w:val="left" w:pos="1275"/>
          <w:tab w:val="left" w:pos="1417"/>
          <w:tab w:val="left" w:pos="1474"/>
          <w:tab w:val="left" w:pos="1928"/>
          <w:tab w:val="left" w:pos="2835"/>
          <w:tab w:val="right" w:leader="dot" w:pos="6259"/>
        </w:tabs>
        <w:suppressAutoHyphens/>
        <w:autoSpaceDE w:val="0"/>
        <w:autoSpaceDN w:val="0"/>
        <w:spacing w:before="72" w:line="360" w:lineRule="auto"/>
        <w:ind w:left="1440" w:right="567" w:hanging="1440"/>
        <w:jc w:val="both"/>
        <w:rPr>
          <w:b/>
          <w:bCs/>
          <w:rtl/>
          <w:lang w:eastAsia="he-IL"/>
        </w:rPr>
      </w:pPr>
      <w:r>
        <w:rPr>
          <w:b/>
          <w:bCs/>
          <w:rtl/>
          <w:lang w:eastAsia="he-IL"/>
        </w:rPr>
        <w:tab/>
      </w:r>
      <w:r>
        <w:rPr>
          <w:b/>
          <w:bCs/>
          <w:rtl/>
          <w:lang w:eastAsia="he-IL"/>
        </w:rPr>
        <w:tab/>
      </w:r>
      <w:r>
        <w:rPr>
          <w:b/>
          <w:bCs/>
          <w:rtl/>
          <w:lang w:eastAsia="he-IL"/>
        </w:rPr>
        <w:tab/>
      </w:r>
      <w:r>
        <w:rPr>
          <w:b/>
          <w:bCs/>
          <w:rtl/>
          <w:lang w:eastAsia="he-IL"/>
        </w:rPr>
        <w:tab/>
      </w:r>
      <w:r>
        <w:rPr>
          <w:b/>
          <w:bCs/>
          <w:rtl/>
          <w:lang w:eastAsia="he-IL"/>
        </w:rPr>
        <w:tab/>
        <w:t>(1)</w:t>
      </w:r>
      <w:r>
        <w:rPr>
          <w:rFonts w:hint="cs"/>
          <w:b/>
          <w:bCs/>
          <w:rtl/>
          <w:lang w:eastAsia="he-IL"/>
        </w:rPr>
        <w:t xml:space="preserve"> </w:t>
      </w:r>
      <w:r>
        <w:rPr>
          <w:b/>
          <w:bCs/>
          <w:rtl/>
          <w:lang w:eastAsia="he-IL"/>
        </w:rPr>
        <w:t>חלפה שנה מיום שנפתח אחד מההליכים האלה:</w:t>
      </w:r>
    </w:p>
    <w:p w:rsidR="005A6EEA" w:rsidRDefault="005A6EEA" w:rsidP="005A6EEA">
      <w:pPr>
        <w:widowControl w:val="0"/>
        <w:tabs>
          <w:tab w:val="left" w:pos="1275"/>
          <w:tab w:val="left" w:pos="1417"/>
          <w:tab w:val="left" w:pos="1474"/>
          <w:tab w:val="left" w:pos="1928"/>
          <w:tab w:val="left" w:pos="2070"/>
          <w:tab w:val="left" w:pos="2381"/>
          <w:tab w:val="right" w:leader="dot" w:pos="6259"/>
        </w:tabs>
        <w:suppressAutoHyphens/>
        <w:autoSpaceDE w:val="0"/>
        <w:autoSpaceDN w:val="0"/>
        <w:spacing w:before="72" w:line="360" w:lineRule="auto"/>
        <w:ind w:left="1474" w:right="567" w:hanging="1440"/>
        <w:jc w:val="both"/>
        <w:rPr>
          <w:b/>
          <w:bCs/>
          <w:rtl/>
          <w:lang w:eastAsia="he-IL"/>
        </w:rPr>
      </w:pPr>
      <w:r>
        <w:rPr>
          <w:b/>
          <w:bCs/>
          <w:rtl/>
          <w:lang w:eastAsia="he-IL"/>
        </w:rPr>
        <w:tab/>
      </w:r>
      <w:r>
        <w:rPr>
          <w:b/>
          <w:bCs/>
          <w:rtl/>
          <w:lang w:eastAsia="he-IL"/>
        </w:rPr>
        <w:tab/>
      </w:r>
      <w:r>
        <w:rPr>
          <w:b/>
          <w:bCs/>
          <w:rtl/>
          <w:lang w:eastAsia="he-IL"/>
        </w:rPr>
        <w:tab/>
      </w:r>
      <w:r>
        <w:rPr>
          <w:b/>
          <w:bCs/>
          <w:rtl/>
          <w:lang w:eastAsia="he-IL"/>
        </w:rPr>
        <w:tab/>
      </w:r>
      <w:r>
        <w:rPr>
          <w:b/>
          <w:bCs/>
          <w:rtl/>
          <w:lang w:eastAsia="he-IL"/>
        </w:rPr>
        <w:tab/>
      </w:r>
      <w:r>
        <w:rPr>
          <w:b/>
          <w:bCs/>
          <w:rtl/>
          <w:lang w:eastAsia="he-IL"/>
        </w:rPr>
        <w:tab/>
        <w:t>(א) הליך להתרת נישואין;</w:t>
      </w:r>
    </w:p>
    <w:p w:rsidR="005A6EEA" w:rsidRDefault="005A6EEA" w:rsidP="005A6EEA">
      <w:pPr>
        <w:widowControl w:val="0"/>
        <w:tabs>
          <w:tab w:val="left" w:pos="1275"/>
          <w:tab w:val="left" w:pos="1417"/>
          <w:tab w:val="left" w:pos="1474"/>
          <w:tab w:val="left" w:pos="1928"/>
          <w:tab w:val="left" w:pos="2070"/>
          <w:tab w:val="left" w:pos="2381"/>
          <w:tab w:val="right" w:leader="dot" w:pos="6259"/>
        </w:tabs>
        <w:suppressAutoHyphens/>
        <w:autoSpaceDE w:val="0"/>
        <w:autoSpaceDN w:val="0"/>
        <w:spacing w:before="72" w:line="360" w:lineRule="auto"/>
        <w:ind w:left="2778" w:right="567" w:hanging="2700"/>
        <w:jc w:val="both"/>
        <w:rPr>
          <w:b/>
          <w:bCs/>
          <w:rtl/>
          <w:lang w:eastAsia="he-IL"/>
        </w:rPr>
      </w:pPr>
      <w:r>
        <w:rPr>
          <w:b/>
          <w:bCs/>
          <w:rtl/>
          <w:lang w:eastAsia="he-IL"/>
        </w:rPr>
        <w:tab/>
      </w:r>
      <w:r>
        <w:rPr>
          <w:b/>
          <w:bCs/>
          <w:rtl/>
          <w:lang w:eastAsia="he-IL"/>
        </w:rPr>
        <w:tab/>
      </w:r>
      <w:r>
        <w:rPr>
          <w:b/>
          <w:bCs/>
          <w:rtl/>
          <w:lang w:eastAsia="he-IL"/>
        </w:rPr>
        <w:tab/>
      </w:r>
      <w:r>
        <w:rPr>
          <w:b/>
          <w:bCs/>
          <w:rtl/>
          <w:lang w:eastAsia="he-IL"/>
        </w:rPr>
        <w:tab/>
      </w:r>
      <w:r>
        <w:rPr>
          <w:b/>
          <w:bCs/>
          <w:rtl/>
          <w:lang w:eastAsia="he-IL"/>
        </w:rPr>
        <w:tab/>
      </w:r>
      <w:r>
        <w:rPr>
          <w:b/>
          <w:bCs/>
          <w:rtl/>
          <w:lang w:eastAsia="he-IL"/>
        </w:rPr>
        <w:tab/>
        <w:t>(ב)</w:t>
      </w:r>
      <w:r>
        <w:rPr>
          <w:b/>
          <w:bCs/>
          <w:rtl/>
          <w:lang w:eastAsia="he-IL"/>
        </w:rPr>
        <w:tab/>
        <w:t>תביעה לחלוקת רכוש בין בני הזוג, לרבות תביעה לפירוק שיתוף במקרקעין המשותפים לבני הזוג לפי</w:t>
      </w:r>
      <w:r>
        <w:rPr>
          <w:rFonts w:hint="cs"/>
          <w:b/>
          <w:bCs/>
          <w:rtl/>
          <w:lang w:eastAsia="he-IL"/>
        </w:rPr>
        <w:t xml:space="preserve"> חוק המקרקעין, התשכ"ט </w:t>
      </w:r>
      <w:r>
        <w:rPr>
          <w:b/>
          <w:bCs/>
          <w:rtl/>
          <w:lang w:eastAsia="he-IL"/>
        </w:rPr>
        <w:t>–</w:t>
      </w:r>
      <w:r>
        <w:rPr>
          <w:rFonts w:hint="cs"/>
          <w:b/>
          <w:bCs/>
          <w:rtl/>
          <w:lang w:eastAsia="he-IL"/>
        </w:rPr>
        <w:t xml:space="preserve"> 1969, </w:t>
      </w:r>
      <w:r>
        <w:rPr>
          <w:b/>
          <w:bCs/>
          <w:rtl/>
          <w:lang w:eastAsia="he-IL"/>
        </w:rPr>
        <w:t>תביעה לפסק דין הצהרתי בדבר זכויות בני הזוג ברכוש, בקשה לביצוע הסדר איזון משאבים לפי פרק זה או בקשה לפי סעיף 11;</w:t>
      </w:r>
    </w:p>
    <w:p w:rsidR="005A6EEA" w:rsidRDefault="005A6EEA" w:rsidP="005A6EEA">
      <w:pPr>
        <w:widowControl w:val="0"/>
        <w:tabs>
          <w:tab w:val="left" w:pos="1275"/>
          <w:tab w:val="left" w:pos="1417"/>
          <w:tab w:val="left" w:pos="1474"/>
          <w:tab w:val="left" w:pos="1928"/>
          <w:tab w:val="left" w:pos="2070"/>
          <w:tab w:val="left" w:pos="2381"/>
          <w:tab w:val="right" w:leader="dot" w:pos="6259"/>
        </w:tabs>
        <w:suppressAutoHyphens/>
        <w:autoSpaceDE w:val="0"/>
        <w:autoSpaceDN w:val="0"/>
        <w:spacing w:before="72" w:line="360" w:lineRule="auto"/>
        <w:ind w:left="2211" w:right="567" w:hanging="2700"/>
        <w:jc w:val="both"/>
        <w:rPr>
          <w:b/>
          <w:bCs/>
          <w:rtl/>
          <w:lang w:eastAsia="he-IL"/>
        </w:rPr>
      </w:pPr>
      <w:r>
        <w:rPr>
          <w:b/>
          <w:bCs/>
          <w:rtl/>
          <w:lang w:eastAsia="he-IL"/>
        </w:rPr>
        <w:tab/>
      </w:r>
      <w:r>
        <w:rPr>
          <w:b/>
          <w:bCs/>
          <w:rtl/>
          <w:lang w:eastAsia="he-IL"/>
        </w:rPr>
        <w:tab/>
      </w:r>
      <w:r>
        <w:rPr>
          <w:b/>
          <w:bCs/>
          <w:rtl/>
          <w:lang w:eastAsia="he-IL"/>
        </w:rPr>
        <w:tab/>
      </w:r>
      <w:r>
        <w:rPr>
          <w:b/>
          <w:bCs/>
          <w:rtl/>
          <w:lang w:eastAsia="he-IL"/>
        </w:rPr>
        <w:tab/>
        <w:t>(2)</w:t>
      </w:r>
      <w:r>
        <w:rPr>
          <w:rFonts w:hint="cs"/>
          <w:b/>
          <w:bCs/>
          <w:rtl/>
          <w:lang w:eastAsia="he-IL"/>
        </w:rPr>
        <w:t xml:space="preserve"> </w:t>
      </w:r>
      <w:r>
        <w:rPr>
          <w:b/>
          <w:bCs/>
          <w:rtl/>
          <w:lang w:eastAsia="he-IL"/>
        </w:rPr>
        <w:t xml:space="preserve">קיים קרע בין בני הזוג או שבני הזוג חיים בנפרד אף אם תחת </w:t>
      </w:r>
      <w:r>
        <w:rPr>
          <w:rFonts w:hint="cs"/>
          <w:b/>
          <w:bCs/>
          <w:rtl/>
          <w:lang w:eastAsia="he-IL"/>
        </w:rPr>
        <w:t xml:space="preserve">                 </w:t>
      </w:r>
      <w:r>
        <w:rPr>
          <w:b/>
          <w:bCs/>
          <w:rtl/>
          <w:lang w:eastAsia="he-IL"/>
        </w:rPr>
        <w:t>קורת גג אחת במשך תקופה מצטברת של תשעה חודשים לפחות מתוך תקופה רצופה של שנה; בית המשפט או בית הדין רשאי לקצר את התקופה האמורה בפסקה זו אם ניתנה החלטה שיפוטית המעידה על קיומו של קרע בין בני הזוג</w:t>
      </w:r>
      <w:r>
        <w:rPr>
          <w:rFonts w:hint="cs"/>
          <w:b/>
          <w:bCs/>
          <w:rtl/>
          <w:lang w:eastAsia="he-IL"/>
        </w:rPr>
        <w:t>"</w:t>
      </w:r>
      <w:r>
        <w:rPr>
          <w:b/>
          <w:bCs/>
          <w:rtl/>
          <w:lang w:eastAsia="he-IL"/>
        </w:rPr>
        <w:t>.</w:t>
      </w:r>
    </w:p>
    <w:p w:rsidR="005A6EEA" w:rsidRDefault="005A6EEA" w:rsidP="005A6EEA">
      <w:pPr>
        <w:widowControl w:val="0"/>
        <w:tabs>
          <w:tab w:val="left" w:pos="1275"/>
          <w:tab w:val="left" w:pos="1417"/>
          <w:tab w:val="left" w:pos="1474"/>
          <w:tab w:val="left" w:pos="1928"/>
          <w:tab w:val="left" w:pos="2381"/>
          <w:tab w:val="left" w:pos="2835"/>
          <w:tab w:val="right" w:leader="dot" w:pos="6259"/>
        </w:tabs>
        <w:suppressAutoHyphens/>
        <w:autoSpaceDE w:val="0"/>
        <w:autoSpaceDN w:val="0"/>
        <w:spacing w:before="72"/>
        <w:ind w:left="1474" w:right="567" w:hanging="1440"/>
        <w:jc w:val="both"/>
        <w:rPr>
          <w:b/>
          <w:bCs/>
          <w:rtl/>
          <w:lang w:eastAsia="he-IL"/>
        </w:rPr>
      </w:pPr>
    </w:p>
    <w:p w:rsidR="005A6EEA" w:rsidRDefault="005A6EEA" w:rsidP="005A6EEA">
      <w:pPr>
        <w:widowControl w:val="0"/>
        <w:tabs>
          <w:tab w:val="left" w:pos="652"/>
          <w:tab w:val="left" w:pos="1275"/>
          <w:tab w:val="left" w:pos="1474"/>
          <w:tab w:val="left" w:pos="1644"/>
          <w:tab w:val="left" w:pos="1928"/>
          <w:tab w:val="left" w:pos="2835"/>
          <w:tab w:val="right" w:leader="dot" w:pos="6259"/>
        </w:tabs>
        <w:suppressAutoHyphens/>
        <w:autoSpaceDE w:val="0"/>
        <w:autoSpaceDN w:val="0"/>
        <w:spacing w:before="72" w:line="360" w:lineRule="auto"/>
        <w:ind w:left="1644" w:right="567" w:hanging="1644"/>
        <w:jc w:val="both"/>
        <w:rPr>
          <w:b/>
          <w:bCs/>
          <w:rtl/>
        </w:rPr>
      </w:pPr>
      <w:r>
        <w:rPr>
          <w:b/>
          <w:bCs/>
          <w:rtl/>
        </w:rPr>
        <w:tab/>
      </w:r>
      <w:r>
        <w:rPr>
          <w:b/>
          <w:bCs/>
          <w:rtl/>
        </w:rPr>
        <w:tab/>
      </w:r>
    </w:p>
    <w:p w:rsidR="005A6EEA" w:rsidRDefault="005A6EEA" w:rsidP="005A6EEA">
      <w:pPr>
        <w:pStyle w:val="a4"/>
        <w:spacing w:line="360" w:lineRule="auto"/>
        <w:ind w:left="369"/>
        <w:jc w:val="both"/>
        <w:rPr>
          <w:noProof w:val="0"/>
        </w:rPr>
      </w:pPr>
      <w:r>
        <w:rPr>
          <w:rFonts w:hint="cs"/>
          <w:rtl/>
        </w:rPr>
        <w:t xml:space="preserve">עינינו הרואות, כי </w:t>
      </w:r>
      <w:r>
        <w:rPr>
          <w:rtl/>
        </w:rPr>
        <w:t xml:space="preserve">בהתקיים אחד </w:t>
      </w:r>
      <w:r>
        <w:rPr>
          <w:rFonts w:hint="cs"/>
          <w:rtl/>
        </w:rPr>
        <w:t xml:space="preserve">(או יותר) התנאים הקבועים בסעיף 5א לחוק יחסי ממון, </w:t>
      </w:r>
      <w:r>
        <w:rPr>
          <w:rtl/>
        </w:rPr>
        <w:t xml:space="preserve">זכאי כל אחד מבני הזוג להגיש בקשה </w:t>
      </w:r>
      <w:r>
        <w:rPr>
          <w:rFonts w:hint="cs"/>
          <w:rtl/>
        </w:rPr>
        <w:t>להקדמת</w:t>
      </w:r>
      <w:r>
        <w:rPr>
          <w:rtl/>
        </w:rPr>
        <w:t xml:space="preserve"> </w:t>
      </w:r>
      <w:r>
        <w:rPr>
          <w:rFonts w:hint="cs"/>
          <w:rtl/>
        </w:rPr>
        <w:t>ה</w:t>
      </w:r>
      <w:r>
        <w:rPr>
          <w:rtl/>
        </w:rPr>
        <w:t xml:space="preserve">מועד </w:t>
      </w:r>
      <w:r>
        <w:rPr>
          <w:rFonts w:hint="cs"/>
          <w:rtl/>
        </w:rPr>
        <w:t>ל</w:t>
      </w:r>
      <w:r>
        <w:rPr>
          <w:rtl/>
        </w:rPr>
        <w:t xml:space="preserve">מימוש הזכות לאיזון משאבים </w:t>
      </w:r>
      <w:r>
        <w:rPr>
          <w:rFonts w:hint="cs"/>
          <w:rtl/>
        </w:rPr>
        <w:t xml:space="preserve">עוד </w:t>
      </w:r>
      <w:r>
        <w:rPr>
          <w:rtl/>
        </w:rPr>
        <w:t xml:space="preserve">טרם </w:t>
      </w:r>
      <w:r>
        <w:rPr>
          <w:rFonts w:hint="cs"/>
          <w:rtl/>
        </w:rPr>
        <w:t>פקעו</w:t>
      </w:r>
      <w:r>
        <w:rPr>
          <w:rtl/>
        </w:rPr>
        <w:t xml:space="preserve"> הנישואין, ובכך לנתק</w:t>
      </w:r>
      <w:r>
        <w:rPr>
          <w:rFonts w:hint="cs"/>
          <w:rtl/>
        </w:rPr>
        <w:t>, למעשה,</w:t>
      </w:r>
      <w:r>
        <w:rPr>
          <w:rtl/>
        </w:rPr>
        <w:t xml:space="preserve"> הזיקה בין מימוש זכות </w:t>
      </w:r>
      <w:r>
        <w:rPr>
          <w:rFonts w:hint="cs"/>
          <w:rtl/>
        </w:rPr>
        <w:t>זו ו</w:t>
      </w:r>
      <w:r>
        <w:rPr>
          <w:rtl/>
        </w:rPr>
        <w:t xml:space="preserve">בין מועד פקיעת הנישואין. </w:t>
      </w:r>
    </w:p>
    <w:p w:rsidR="005A6EEA" w:rsidRDefault="005A6EEA" w:rsidP="005A6EEA">
      <w:pPr>
        <w:rPr>
          <w:rFonts w:ascii="Arial" w:hAnsi="Arial"/>
          <w:noProof w:val="0"/>
          <w:rtl/>
        </w:rPr>
      </w:pPr>
    </w:p>
    <w:p w:rsidR="005A6EEA" w:rsidRPr="00FB6B0D" w:rsidRDefault="005A6EEA" w:rsidP="005A6EEA">
      <w:pPr>
        <w:rPr>
          <w:rFonts w:ascii="Arial" w:hAnsi="Arial"/>
          <w:noProof w:val="0"/>
          <w:rtl/>
        </w:rPr>
      </w:pPr>
      <w:r>
        <w:rPr>
          <w:rFonts w:ascii="Arial" w:hAnsi="Arial" w:hint="cs"/>
          <w:noProof w:val="0"/>
          <w:rtl/>
        </w:rPr>
        <w:t xml:space="preserve">          </w:t>
      </w:r>
      <w:r>
        <w:rPr>
          <w:rFonts w:ascii="Arial" w:hAnsi="Arial"/>
          <w:noProof w:val="0"/>
          <w:rtl/>
        </w:rPr>
        <w:tab/>
      </w:r>
    </w:p>
    <w:p w:rsidR="005A6EEA" w:rsidRDefault="005A6EEA" w:rsidP="005A6EEA">
      <w:pPr>
        <w:pStyle w:val="a4"/>
        <w:spacing w:line="360" w:lineRule="auto"/>
        <w:ind w:left="369"/>
        <w:jc w:val="both"/>
        <w:rPr>
          <w:rFonts w:ascii="Arial" w:hAnsi="Arial"/>
          <w:noProof w:val="0"/>
        </w:rPr>
      </w:pPr>
      <w:r>
        <w:rPr>
          <w:rFonts w:ascii="Arial" w:hAnsi="Arial" w:hint="cs"/>
          <w:noProof w:val="0"/>
          <w:rtl/>
        </w:rPr>
        <w:t xml:space="preserve">באשר למועד הקרע - הדעה הרווחת בפסיקה היא, שמדובר בנקודת הזמן אשר בה תמו למעשה יחסי השיתוף בין בני הזוג, וביטוי לכך ניתן למצוא בדברי כב' השופטת נתניהו ב-ע"א 809/90 </w:t>
      </w:r>
      <w:proofErr w:type="spellStart"/>
      <w:r w:rsidRPr="00C90C3B">
        <w:rPr>
          <w:rFonts w:ascii="Arial" w:hAnsi="Arial" w:hint="cs"/>
          <w:b/>
          <w:bCs/>
          <w:noProof w:val="0"/>
          <w:rtl/>
        </w:rPr>
        <w:t>לידאי</w:t>
      </w:r>
      <w:proofErr w:type="spellEnd"/>
      <w:r w:rsidRPr="00C90C3B">
        <w:rPr>
          <w:rFonts w:ascii="Arial" w:hAnsi="Arial" w:hint="cs"/>
          <w:b/>
          <w:bCs/>
          <w:noProof w:val="0"/>
          <w:rtl/>
        </w:rPr>
        <w:t xml:space="preserve"> נ' </w:t>
      </w:r>
      <w:proofErr w:type="spellStart"/>
      <w:r w:rsidRPr="00C90C3B">
        <w:rPr>
          <w:rFonts w:ascii="Arial" w:hAnsi="Arial" w:hint="cs"/>
          <w:b/>
          <w:bCs/>
          <w:noProof w:val="0"/>
          <w:rtl/>
        </w:rPr>
        <w:t>לידאי</w:t>
      </w:r>
      <w:proofErr w:type="spellEnd"/>
      <w:r>
        <w:rPr>
          <w:rFonts w:ascii="Arial" w:hAnsi="Arial" w:hint="cs"/>
          <w:noProof w:val="0"/>
          <w:rtl/>
        </w:rPr>
        <w:t xml:space="preserve"> </w:t>
      </w:r>
      <w:proofErr w:type="spellStart"/>
      <w:r>
        <w:rPr>
          <w:rFonts w:ascii="Arial" w:hAnsi="Arial" w:hint="cs"/>
          <w:noProof w:val="0"/>
          <w:rtl/>
        </w:rPr>
        <w:t>פד"י</w:t>
      </w:r>
      <w:proofErr w:type="spellEnd"/>
      <w:r>
        <w:rPr>
          <w:rFonts w:ascii="Arial" w:hAnsi="Arial" w:hint="cs"/>
          <w:noProof w:val="0"/>
          <w:rtl/>
        </w:rPr>
        <w:t xml:space="preserve"> מו' (1) 602, 613: </w:t>
      </w:r>
      <w:r w:rsidRPr="00C90C3B">
        <w:rPr>
          <w:rFonts w:ascii="Arial" w:hAnsi="Arial" w:hint="cs"/>
          <w:b/>
          <w:bCs/>
          <w:noProof w:val="0"/>
          <w:rtl/>
        </w:rPr>
        <w:t xml:space="preserve">"מועד זה הוא המועד שבו מפסיקים בני הזוג לנהל קופה משותפת ושממנו ואילך הם נוהגים לפי הכלל של "שלי </w:t>
      </w:r>
      <w:r w:rsidRPr="00C90C3B">
        <w:rPr>
          <w:rFonts w:ascii="Arial" w:hAnsi="Arial"/>
          <w:b/>
          <w:bCs/>
          <w:noProof w:val="0"/>
          <w:rtl/>
        </w:rPr>
        <w:t>–</w:t>
      </w:r>
      <w:r w:rsidRPr="00C90C3B">
        <w:rPr>
          <w:rFonts w:ascii="Arial" w:hAnsi="Arial" w:hint="cs"/>
          <w:b/>
          <w:bCs/>
          <w:noProof w:val="0"/>
          <w:rtl/>
        </w:rPr>
        <w:t xml:space="preserve"> שלי ושלך </w:t>
      </w:r>
      <w:r w:rsidRPr="00C90C3B">
        <w:rPr>
          <w:rFonts w:ascii="Arial" w:hAnsi="Arial"/>
          <w:b/>
          <w:bCs/>
          <w:noProof w:val="0"/>
          <w:rtl/>
        </w:rPr>
        <w:t>–</w:t>
      </w:r>
      <w:r w:rsidRPr="00C90C3B">
        <w:rPr>
          <w:rFonts w:ascii="Arial" w:hAnsi="Arial" w:hint="cs"/>
          <w:b/>
          <w:bCs/>
          <w:noProof w:val="0"/>
          <w:rtl/>
        </w:rPr>
        <w:t xml:space="preserve"> שלך". </w:t>
      </w:r>
    </w:p>
    <w:p w:rsidR="005A6EEA" w:rsidRPr="00561FFB" w:rsidRDefault="005A6EEA" w:rsidP="005A6EEA">
      <w:pPr>
        <w:pStyle w:val="a4"/>
        <w:rPr>
          <w:rFonts w:ascii="Arial" w:hAnsi="Arial"/>
          <w:noProof w:val="0"/>
          <w:rtl/>
        </w:rPr>
      </w:pPr>
    </w:p>
    <w:p w:rsidR="005A6EEA" w:rsidRDefault="005A6EEA" w:rsidP="005A6EEA">
      <w:pPr>
        <w:pStyle w:val="a4"/>
        <w:spacing w:line="360" w:lineRule="auto"/>
        <w:ind w:left="369"/>
        <w:jc w:val="both"/>
        <w:rPr>
          <w:rFonts w:ascii="Arial" w:hAnsi="Arial"/>
          <w:noProof w:val="0"/>
        </w:rPr>
      </w:pPr>
      <w:r>
        <w:rPr>
          <w:rFonts w:ascii="Arial" w:hAnsi="Arial" w:hint="cs"/>
          <w:noProof w:val="0"/>
          <w:rtl/>
        </w:rPr>
        <w:t xml:space="preserve">עוד הצביעה הפסיקה על אינדיקציות שונות שיש בהן כדי ללמד על הפסקת השיתוף בין בני הזוג והן מוסקות מאירועים שונים, למשל עזיבת אחד הצדדים את בית המגורים המשותף והגשת תביעה ע"י אחד מן הצדדים (ראו למשל: פרשת </w:t>
      </w:r>
      <w:proofErr w:type="spellStart"/>
      <w:r w:rsidRPr="007D5979">
        <w:rPr>
          <w:rFonts w:ascii="Arial" w:hAnsi="Arial" w:hint="cs"/>
          <w:b/>
          <w:bCs/>
          <w:noProof w:val="0"/>
          <w:rtl/>
        </w:rPr>
        <w:t>לידאי</w:t>
      </w:r>
      <w:proofErr w:type="spellEnd"/>
      <w:r>
        <w:rPr>
          <w:rFonts w:ascii="Arial" w:hAnsi="Arial" w:hint="cs"/>
          <w:noProof w:val="0"/>
          <w:rtl/>
        </w:rPr>
        <w:t xml:space="preserve"> הנ"ל); בגידה של אחד מבני הזוג (ע"א 246/77 </w:t>
      </w:r>
      <w:r w:rsidRPr="007D5979">
        <w:rPr>
          <w:rFonts w:ascii="Arial" w:hAnsi="Arial" w:hint="cs"/>
          <w:b/>
          <w:bCs/>
          <w:noProof w:val="0"/>
          <w:rtl/>
        </w:rPr>
        <w:t>דרור נ' דרור</w:t>
      </w:r>
      <w:r>
        <w:rPr>
          <w:rFonts w:ascii="Arial" w:hAnsi="Arial" w:hint="cs"/>
          <w:noProof w:val="0"/>
          <w:rtl/>
        </w:rPr>
        <w:t xml:space="preserve"> פ"ד לב(1) 829; ע"א 343/87 </w:t>
      </w:r>
      <w:r w:rsidRPr="007D5979">
        <w:rPr>
          <w:rFonts w:ascii="Arial" w:hAnsi="Arial" w:hint="cs"/>
          <w:b/>
          <w:bCs/>
          <w:noProof w:val="0"/>
          <w:rtl/>
        </w:rPr>
        <w:t>פרי נ' פרי</w:t>
      </w:r>
      <w:r>
        <w:rPr>
          <w:rFonts w:ascii="Arial" w:hAnsi="Arial" w:hint="cs"/>
          <w:noProof w:val="0"/>
          <w:rtl/>
        </w:rPr>
        <w:t xml:space="preserve"> פ"ד מד(2) 154) ועוד. </w:t>
      </w:r>
    </w:p>
    <w:p w:rsidR="005A6EEA" w:rsidRPr="008D5A71" w:rsidRDefault="005A6EEA" w:rsidP="005A6EEA">
      <w:pPr>
        <w:pStyle w:val="a4"/>
        <w:rPr>
          <w:rFonts w:ascii="Arial" w:hAnsi="Arial"/>
          <w:noProof w:val="0"/>
          <w:rtl/>
        </w:rPr>
      </w:pPr>
    </w:p>
    <w:p w:rsidR="005A6EEA" w:rsidRPr="008D5A71" w:rsidRDefault="005A6EEA" w:rsidP="005A6EEA">
      <w:pPr>
        <w:pStyle w:val="a4"/>
        <w:spacing w:line="360" w:lineRule="auto"/>
        <w:ind w:left="369"/>
        <w:jc w:val="both"/>
        <w:rPr>
          <w:rFonts w:ascii="Arial" w:hAnsi="Arial"/>
          <w:noProof w:val="0"/>
          <w:rtl/>
        </w:rPr>
      </w:pPr>
      <w:r>
        <w:rPr>
          <w:rFonts w:ascii="Arial" w:hAnsi="Arial" w:hint="cs"/>
          <w:noProof w:val="0"/>
          <w:rtl/>
        </w:rPr>
        <w:t>עוד לעניין זה נקבע ב-</w:t>
      </w:r>
      <w:proofErr w:type="spellStart"/>
      <w:r>
        <w:rPr>
          <w:rFonts w:ascii="Arial" w:hAnsi="Arial" w:hint="cs"/>
          <w:noProof w:val="0"/>
          <w:rtl/>
        </w:rPr>
        <w:t>עמ"ש</w:t>
      </w:r>
      <w:proofErr w:type="spellEnd"/>
      <w:r>
        <w:rPr>
          <w:rFonts w:ascii="Arial" w:hAnsi="Arial" w:hint="cs"/>
          <w:noProof w:val="0"/>
          <w:rtl/>
        </w:rPr>
        <w:t xml:space="preserve"> (חי') 23541-01-17 </w:t>
      </w:r>
      <w:r w:rsidRPr="008D5A71">
        <w:rPr>
          <w:rFonts w:ascii="Arial" w:hAnsi="Arial" w:hint="cs"/>
          <w:b/>
          <w:bCs/>
          <w:noProof w:val="0"/>
          <w:rtl/>
        </w:rPr>
        <w:t>פלונית נ' פלוני</w:t>
      </w:r>
      <w:r>
        <w:rPr>
          <w:rFonts w:ascii="Arial" w:hAnsi="Arial" w:hint="cs"/>
          <w:noProof w:val="0"/>
          <w:rtl/>
        </w:rPr>
        <w:t xml:space="preserve"> (פורסם במאגרים האלקטרוניים), כי הקרע עשוי לבוא לידי ביטוי במספר מישורים: </w:t>
      </w:r>
      <w:r w:rsidRPr="008D5A71">
        <w:rPr>
          <w:rFonts w:ascii="Arial" w:hAnsi="Arial" w:hint="cs"/>
          <w:b/>
          <w:bCs/>
          <w:noProof w:val="0"/>
          <w:rtl/>
        </w:rPr>
        <w:t xml:space="preserve">"קרע פיזי - ובכלל זה יציאה </w:t>
      </w:r>
      <w:r w:rsidRPr="008D5A71">
        <w:rPr>
          <w:rFonts w:ascii="Arial" w:hAnsi="Arial" w:hint="cs"/>
          <w:b/>
          <w:bCs/>
          <w:noProof w:val="0"/>
          <w:rtl/>
        </w:rPr>
        <w:lastRenderedPageBreak/>
        <w:t>מבית המגורים, הפרדת מגורים, נקיטה בהליכים משפטיים. קרע כלכלי - ובכלל זה הפסקת ניהול משק הבית במשותף. קרע זוגי - ובכלל זה הפרת נאמנות מצד בן הזוג, אלימות בין בני הזוג, הגשת תלונה במשטרה על אלימות ועוד. לבית המשפט שיקול דעת בנדון, בהתאם לנסיבות המקרה שבפניו"</w:t>
      </w:r>
      <w:r w:rsidRPr="008D5A71">
        <w:rPr>
          <w:rFonts w:ascii="Arial" w:hAnsi="Arial" w:hint="cs"/>
          <w:noProof w:val="0"/>
          <w:rtl/>
        </w:rPr>
        <w:t>.</w:t>
      </w:r>
    </w:p>
    <w:p w:rsidR="005A6EEA" w:rsidRPr="008D5A71" w:rsidRDefault="005A6EEA" w:rsidP="005A6EEA">
      <w:pPr>
        <w:rPr>
          <w:rFonts w:ascii="Arial" w:hAnsi="Arial"/>
          <w:noProof w:val="0"/>
          <w:rtl/>
        </w:rPr>
      </w:pPr>
    </w:p>
    <w:p w:rsidR="005A6EEA" w:rsidRDefault="005A6EEA" w:rsidP="005A6EEA">
      <w:pPr>
        <w:pStyle w:val="a4"/>
        <w:spacing w:line="360" w:lineRule="auto"/>
        <w:ind w:left="369"/>
        <w:jc w:val="both"/>
        <w:rPr>
          <w:rFonts w:ascii="Arial" w:hAnsi="Arial"/>
          <w:noProof w:val="0"/>
        </w:rPr>
      </w:pPr>
      <w:r>
        <w:rPr>
          <w:rFonts w:ascii="Arial" w:hAnsi="Arial" w:hint="cs"/>
          <w:noProof w:val="0"/>
          <w:rtl/>
        </w:rPr>
        <w:t xml:space="preserve">כך או כך, אין המדובר ברשימה סגורה וכל מקרה נבחן לגופו בהתאם לנסיבותיו ולשיקול הדעת של בית המשפט. בתוך כך על בית המשפט לבחון מהו המועד בו חדלו הצדדים לראות עצמם כשותפים, הלכה למעשה ומהי נקודת הזמן בה, דה פקטו, הגיעו הנישואין אל קצם. </w:t>
      </w:r>
    </w:p>
    <w:p w:rsidR="005A6EEA" w:rsidRPr="00511782" w:rsidRDefault="005A6EEA" w:rsidP="005A6EEA">
      <w:pPr>
        <w:pStyle w:val="a4"/>
        <w:rPr>
          <w:rFonts w:ascii="Arial" w:hAnsi="Arial"/>
          <w:noProof w:val="0"/>
          <w:rtl/>
        </w:rPr>
      </w:pPr>
    </w:p>
    <w:p w:rsidR="005A6EEA" w:rsidRDefault="005A6EEA" w:rsidP="005A6EEA">
      <w:pPr>
        <w:pStyle w:val="a4"/>
        <w:spacing w:line="360" w:lineRule="auto"/>
        <w:ind w:left="369"/>
        <w:jc w:val="both"/>
        <w:rPr>
          <w:rFonts w:ascii="Arial" w:hAnsi="Arial"/>
          <w:noProof w:val="0"/>
        </w:rPr>
      </w:pPr>
      <w:r>
        <w:rPr>
          <w:rFonts w:ascii="Arial" w:hAnsi="Arial" w:hint="cs"/>
          <w:noProof w:val="0"/>
          <w:rtl/>
        </w:rPr>
        <w:t xml:space="preserve">נוסף על הסמכות המסורה בידי בית המשפט להקדים את מועד המימוש של איזון המשאבים ואת מועד הקרע עומדת לכל אחד מבני הזוג הזכות לטעון, בהתאם להוראת סעיף 8 לחוק יחסי ממון, כי למרות מועד הקרע שנקבע יש לערוך את האיזון בהתאם לבסיס איזון שונה, למשל לפי יחס חלוקה אחר שאינו מחצה על מחצה, שהאיזון בהתייחס לנכסים מסוימים לא יהא בהתאם לשווים במועד האיזון אלא במועד מוקדם יותר או שלא יתייחס לנכסים שהיו לבני הזוג במועד האיזון אלא במועד מוקדם יותר. </w:t>
      </w:r>
    </w:p>
    <w:p w:rsidR="005A6EEA" w:rsidRPr="00D46527" w:rsidRDefault="005A6EEA" w:rsidP="005A6EEA">
      <w:pPr>
        <w:pStyle w:val="a4"/>
        <w:rPr>
          <w:rFonts w:ascii="Arial" w:hAnsi="Arial"/>
          <w:noProof w:val="0"/>
          <w:rtl/>
        </w:rPr>
      </w:pPr>
    </w:p>
    <w:p w:rsidR="005A6EEA" w:rsidRDefault="005A6EEA" w:rsidP="005A6EEA">
      <w:pPr>
        <w:pStyle w:val="a4"/>
        <w:spacing w:line="360" w:lineRule="auto"/>
        <w:ind w:left="369"/>
        <w:jc w:val="both"/>
        <w:rPr>
          <w:rFonts w:ascii="Arial" w:hAnsi="Arial"/>
          <w:noProof w:val="0"/>
        </w:rPr>
      </w:pPr>
      <w:r>
        <w:rPr>
          <w:rFonts w:ascii="Arial" w:hAnsi="Arial" w:hint="cs"/>
          <w:noProof w:val="0"/>
          <w:rtl/>
        </w:rPr>
        <w:t xml:space="preserve">זאת ועוד, גם במקרה בו נקבע ע"י בית המשפט, כי מועד הקרע קדם למועד פקיעת הנישואין, והוא בבחינת המועד הקובע לצורך איזון המשאבים, אין בכך כדי לגרוע מזכותו של כל אחד מבני הזוג לעתור לביצוע התחשבנות כספית נוספת בהתאם לנסיבות הפרטיקולריות של המקרה, שכן דרכו של עולם היא, שענייניהם הכלכליים של בני זוג אשר הקימו משפחה, כלכלו אותה בצוותא </w:t>
      </w:r>
      <w:proofErr w:type="spellStart"/>
      <w:r>
        <w:rPr>
          <w:rFonts w:ascii="Arial" w:hAnsi="Arial" w:hint="cs"/>
          <w:noProof w:val="0"/>
          <w:rtl/>
        </w:rPr>
        <w:t>חדא</w:t>
      </w:r>
      <w:proofErr w:type="spellEnd"/>
      <w:r>
        <w:rPr>
          <w:rFonts w:ascii="Arial" w:hAnsi="Arial" w:hint="cs"/>
          <w:noProof w:val="0"/>
          <w:rtl/>
        </w:rPr>
        <w:t xml:space="preserve"> וניהלו משק בית משותף ככלל אינם נגדעים באבחה חדה, גם כאשר נקבע על ציר הזמן המועד למימוש זכותם לאיזון משאבים בהתאם למנגנון הקבוע בחוק יחסי ממון או מועד הקרע בהתאם לכללים שהלכו ונתגבשו בפסיקה.    </w:t>
      </w:r>
    </w:p>
    <w:p w:rsidR="005A6EEA" w:rsidRPr="008E77A6" w:rsidRDefault="005A6EEA" w:rsidP="005A6EEA">
      <w:pPr>
        <w:pStyle w:val="a4"/>
        <w:rPr>
          <w:rFonts w:ascii="Arial" w:hAnsi="Arial"/>
          <w:noProof w:val="0"/>
          <w:rtl/>
        </w:rPr>
      </w:pPr>
    </w:p>
    <w:p w:rsidR="005A6EEA" w:rsidRDefault="005A6EEA" w:rsidP="005A6EEA">
      <w:pPr>
        <w:pStyle w:val="a4"/>
        <w:spacing w:line="360" w:lineRule="auto"/>
        <w:ind w:left="369"/>
        <w:jc w:val="both"/>
        <w:rPr>
          <w:rFonts w:ascii="Arial" w:hAnsi="Arial"/>
          <w:noProof w:val="0"/>
          <w:rtl/>
        </w:rPr>
      </w:pPr>
      <w:r>
        <w:rPr>
          <w:rFonts w:ascii="Arial" w:hAnsi="Arial" w:hint="cs"/>
          <w:noProof w:val="0"/>
          <w:rtl/>
        </w:rPr>
        <w:t xml:space="preserve">מכל מקום, הגם שהחלטה בעניין מועד הקרע, שהיא, כידוע, החלטת ביניים, מעצם טיבה ובהיותה קשורה בטבורה לזכות הקניין של בני הזוג היא החלטה מהותית, נטועה היא בלבת שיקול הדעת של הערכאה הדיונית, ומטבע הדברים מתקבלת על יסוד נסיבותיו הקונקרטיות של המקרה הבא לפניה, ואינה ניצבת בחלל ריק, וודאי לא כאשר אותו מותב נדרש לכלל ההיבטים של הסכסוך הזוגי ולכלל המחלוקות הנטושות בין בני הזוג הן במישור היחסים הממוניים שלהם והן במישורים אחרים ובהם גם חובותיהם וזכויותיהם כלפי ילדיהם המשותפים. </w:t>
      </w:r>
    </w:p>
    <w:p w:rsidR="005A6EEA" w:rsidRDefault="005A6EEA" w:rsidP="005A6EEA">
      <w:pPr>
        <w:pStyle w:val="a4"/>
        <w:spacing w:line="360" w:lineRule="auto"/>
        <w:ind w:left="369"/>
        <w:jc w:val="both"/>
        <w:rPr>
          <w:rFonts w:ascii="Arial" w:hAnsi="Arial"/>
          <w:noProof w:val="0"/>
          <w:rtl/>
        </w:rPr>
      </w:pPr>
    </w:p>
    <w:p w:rsidR="005A6EEA" w:rsidRDefault="005A6EEA" w:rsidP="005A6EEA">
      <w:pPr>
        <w:pStyle w:val="a4"/>
        <w:spacing w:line="360" w:lineRule="auto"/>
        <w:ind w:left="369"/>
        <w:jc w:val="both"/>
        <w:rPr>
          <w:rFonts w:ascii="Arial" w:hAnsi="Arial"/>
          <w:noProof w:val="0"/>
        </w:rPr>
      </w:pPr>
      <w:r>
        <w:rPr>
          <w:rFonts w:ascii="Arial" w:hAnsi="Arial" w:hint="cs"/>
          <w:noProof w:val="0"/>
          <w:rtl/>
        </w:rPr>
        <w:t xml:space="preserve">מידת ההתערבות של ערכאת הערעור </w:t>
      </w:r>
      <w:proofErr w:type="spellStart"/>
      <w:r>
        <w:rPr>
          <w:rFonts w:ascii="Arial" w:hAnsi="Arial" w:hint="cs"/>
          <w:noProof w:val="0"/>
          <w:rtl/>
        </w:rPr>
        <w:t>בכגון</w:t>
      </w:r>
      <w:proofErr w:type="spellEnd"/>
      <w:r>
        <w:rPr>
          <w:rFonts w:ascii="Arial" w:hAnsi="Arial" w:hint="cs"/>
          <w:noProof w:val="0"/>
          <w:rtl/>
        </w:rPr>
        <w:t xml:space="preserve"> דא היא, אפוא, מצומצמת ושמורה למקרים בהם מדובר בהחלטה העומדת בניגוד לדין או כאשר היא עלולה לגרום לעיוות דין.     </w:t>
      </w:r>
    </w:p>
    <w:p w:rsidR="005A6EEA" w:rsidRPr="003C3632" w:rsidRDefault="005A6EEA" w:rsidP="005A6EEA">
      <w:pPr>
        <w:rPr>
          <w:rFonts w:ascii="David" w:hAnsi="David"/>
          <w:noProof w:val="0"/>
          <w:rtl/>
        </w:rPr>
      </w:pPr>
    </w:p>
    <w:p w:rsidR="005A6EEA" w:rsidRPr="00DB22D2" w:rsidRDefault="005A6EEA" w:rsidP="005A6EEA">
      <w:pPr>
        <w:pStyle w:val="a4"/>
        <w:spacing w:line="360" w:lineRule="auto"/>
        <w:ind w:left="369"/>
        <w:jc w:val="both"/>
        <w:rPr>
          <w:rFonts w:ascii="David" w:eastAsia="Calibri" w:hAnsi="David"/>
          <w:noProof w:val="0"/>
        </w:rPr>
      </w:pPr>
      <w:r>
        <w:rPr>
          <w:rFonts w:ascii="David" w:hAnsi="David" w:hint="cs"/>
          <w:noProof w:val="0"/>
          <w:rtl/>
        </w:rPr>
        <w:t xml:space="preserve">לצד זאת ובהינתן אופייה של החלטה כדוגמת זו שלפנינו נזכיר מושכלות יסוד בשיטתנו המשפטית בעניין חובתה של ערכאה שיפוטית </w:t>
      </w:r>
      <w:r>
        <w:rPr>
          <w:rFonts w:ascii="David" w:eastAsia="Calibri" w:hAnsi="David"/>
          <w:noProof w:val="0"/>
          <w:rtl/>
        </w:rPr>
        <w:t xml:space="preserve">המוציאה תחת ידה פסק דין או החלטה לנמקם. חובה זו מעוגנת </w:t>
      </w:r>
      <w:r>
        <w:rPr>
          <w:rFonts w:ascii="David" w:eastAsia="Calibri" w:hAnsi="David" w:hint="cs"/>
          <w:noProof w:val="0"/>
          <w:rtl/>
        </w:rPr>
        <w:t xml:space="preserve">כיום </w:t>
      </w:r>
      <w:r>
        <w:rPr>
          <w:rFonts w:ascii="David" w:eastAsia="Calibri" w:hAnsi="David"/>
          <w:noProof w:val="0"/>
          <w:rtl/>
        </w:rPr>
        <w:t xml:space="preserve">בתקנה 129 (ב) לתקנות </w:t>
      </w:r>
      <w:r>
        <w:rPr>
          <w:rFonts w:ascii="David" w:eastAsia="Calibri" w:hAnsi="David" w:hint="cs"/>
          <w:noProof w:val="0"/>
          <w:rtl/>
        </w:rPr>
        <w:t>סדר הדין האזרחי, תשע"ט-2018.</w:t>
      </w:r>
      <w:r>
        <w:rPr>
          <w:rFonts w:ascii="David" w:eastAsia="Calibri" w:hAnsi="David"/>
          <w:noProof w:val="0"/>
          <w:rtl/>
        </w:rPr>
        <w:t xml:space="preserve"> </w:t>
      </w:r>
      <w:r>
        <w:rPr>
          <w:rFonts w:ascii="David" w:eastAsia="Calibri" w:hAnsi="David" w:hint="cs"/>
          <w:noProof w:val="0"/>
          <w:rtl/>
        </w:rPr>
        <w:t xml:space="preserve">בפסיקת </w:t>
      </w:r>
      <w:r>
        <w:rPr>
          <w:rFonts w:ascii="David" w:eastAsia="Calibri" w:hAnsi="David"/>
          <w:noProof w:val="0"/>
          <w:rtl/>
        </w:rPr>
        <w:t xml:space="preserve">בית המשפט העליון </w:t>
      </w:r>
      <w:r>
        <w:rPr>
          <w:rFonts w:ascii="David" w:eastAsia="Calibri" w:hAnsi="David" w:hint="cs"/>
          <w:noProof w:val="0"/>
          <w:rtl/>
        </w:rPr>
        <w:t xml:space="preserve">נקבע, </w:t>
      </w:r>
      <w:r>
        <w:rPr>
          <w:rFonts w:ascii="David" w:eastAsia="Calibri" w:hAnsi="David"/>
          <w:noProof w:val="0"/>
          <w:rtl/>
        </w:rPr>
        <w:t xml:space="preserve">כי </w:t>
      </w:r>
      <w:r>
        <w:rPr>
          <w:rFonts w:ascii="David" w:eastAsia="Calibri" w:hAnsi="David" w:hint="cs"/>
          <w:noProof w:val="0"/>
          <w:rtl/>
        </w:rPr>
        <w:t xml:space="preserve">היא </w:t>
      </w:r>
      <w:r>
        <w:rPr>
          <w:rFonts w:ascii="David" w:eastAsia="Calibri" w:hAnsi="David"/>
          <w:noProof w:val="0"/>
          <w:rtl/>
        </w:rPr>
        <w:t xml:space="preserve">מטילה על בית המשפט לנמק פסקי הדין וההחלטות שלו, וככל שאין הוא </w:t>
      </w:r>
      <w:r>
        <w:rPr>
          <w:rFonts w:ascii="David" w:eastAsia="Calibri" w:hAnsi="David" w:hint="cs"/>
          <w:noProof w:val="0"/>
          <w:rtl/>
        </w:rPr>
        <w:t>עומד בחובתו</w:t>
      </w:r>
      <w:r>
        <w:rPr>
          <w:rFonts w:ascii="David" w:eastAsia="Calibri" w:hAnsi="David"/>
          <w:noProof w:val="0"/>
          <w:rtl/>
        </w:rPr>
        <w:t>, כי אז לוק</w:t>
      </w:r>
      <w:r>
        <w:rPr>
          <w:rFonts w:ascii="David" w:eastAsia="Calibri" w:hAnsi="David" w:hint="cs"/>
          <w:noProof w:val="0"/>
          <w:rtl/>
        </w:rPr>
        <w:t>ים הם</w:t>
      </w:r>
      <w:r>
        <w:rPr>
          <w:rFonts w:ascii="David" w:eastAsia="Calibri" w:hAnsi="David"/>
          <w:noProof w:val="0"/>
          <w:rtl/>
        </w:rPr>
        <w:t xml:space="preserve"> בפגם חמור (ראו למשל: רע"א 8997/07 </w:t>
      </w:r>
      <w:proofErr w:type="spellStart"/>
      <w:r>
        <w:rPr>
          <w:rFonts w:ascii="David" w:eastAsia="Calibri" w:hAnsi="David"/>
          <w:b/>
          <w:bCs/>
          <w:noProof w:val="0"/>
          <w:rtl/>
        </w:rPr>
        <w:t>צלר</w:t>
      </w:r>
      <w:proofErr w:type="spellEnd"/>
      <w:r>
        <w:rPr>
          <w:rFonts w:ascii="David" w:eastAsia="Calibri" w:hAnsi="David"/>
          <w:b/>
          <w:bCs/>
          <w:noProof w:val="0"/>
          <w:rtl/>
        </w:rPr>
        <w:t xml:space="preserve"> נ' עופר </w:t>
      </w:r>
      <w:r>
        <w:rPr>
          <w:rFonts w:ascii="David" w:eastAsia="Calibri" w:hAnsi="David"/>
          <w:b/>
          <w:bCs/>
          <w:noProof w:val="0"/>
          <w:rtl/>
        </w:rPr>
        <w:lastRenderedPageBreak/>
        <w:t xml:space="preserve">גבריאלי, עו"ד – מפרק שט-גד שירותי טרקטורים בע"מ (בפירוק), </w:t>
      </w:r>
      <w:r>
        <w:rPr>
          <w:rFonts w:ascii="David" w:eastAsia="Calibri" w:hAnsi="David"/>
          <w:noProof w:val="0"/>
          <w:rtl/>
        </w:rPr>
        <w:t>פורסם במאגרים האלקטרוניים</w:t>
      </w:r>
      <w:r>
        <w:rPr>
          <w:rFonts w:ascii="David" w:eastAsia="Calibri" w:hAnsi="David"/>
          <w:b/>
          <w:bCs/>
          <w:noProof w:val="0"/>
          <w:rtl/>
        </w:rPr>
        <w:t xml:space="preserve">; </w:t>
      </w:r>
      <w:r>
        <w:rPr>
          <w:rFonts w:ascii="David" w:eastAsia="Calibri" w:hAnsi="David"/>
          <w:noProof w:val="0"/>
          <w:rtl/>
        </w:rPr>
        <w:t>רע"א 4224/06</w:t>
      </w:r>
      <w:r>
        <w:rPr>
          <w:rFonts w:ascii="David" w:eastAsia="Calibri" w:hAnsi="David"/>
          <w:b/>
          <w:bCs/>
          <w:noProof w:val="0"/>
          <w:rtl/>
        </w:rPr>
        <w:t xml:space="preserve"> דדון נ' כרמל, </w:t>
      </w:r>
      <w:r>
        <w:rPr>
          <w:rFonts w:ascii="David" w:eastAsia="Calibri" w:hAnsi="David"/>
          <w:noProof w:val="0"/>
          <w:rtl/>
        </w:rPr>
        <w:t>פורסם במאגרים האלקטרוניים</w:t>
      </w:r>
      <w:r w:rsidRPr="000F46D6">
        <w:rPr>
          <w:rFonts w:ascii="David" w:eastAsia="Calibri" w:hAnsi="David"/>
          <w:noProof w:val="0"/>
          <w:rtl/>
        </w:rPr>
        <w:t xml:space="preserve">). </w:t>
      </w:r>
    </w:p>
    <w:p w:rsidR="005A6EEA" w:rsidRDefault="005A6EEA" w:rsidP="005A6EEA">
      <w:pPr>
        <w:pStyle w:val="a4"/>
        <w:ind w:left="794"/>
        <w:jc w:val="both"/>
        <w:rPr>
          <w:rFonts w:ascii="David" w:eastAsia="Calibri" w:hAnsi="David"/>
          <w:noProof w:val="0"/>
          <w:rtl/>
        </w:rPr>
      </w:pPr>
    </w:p>
    <w:p w:rsidR="005A6EEA" w:rsidRDefault="005A6EEA" w:rsidP="005A6EEA">
      <w:pPr>
        <w:pStyle w:val="a4"/>
        <w:spacing w:line="360" w:lineRule="auto"/>
        <w:ind w:left="369"/>
        <w:jc w:val="both"/>
        <w:rPr>
          <w:rFonts w:ascii="David" w:eastAsia="Calibri" w:hAnsi="David"/>
          <w:noProof w:val="0"/>
        </w:rPr>
      </w:pPr>
      <w:r w:rsidRPr="00DB22D2">
        <w:rPr>
          <w:rFonts w:ascii="David" w:eastAsia="Calibri" w:hAnsi="David" w:hint="cs"/>
          <w:noProof w:val="0"/>
          <w:rtl/>
        </w:rPr>
        <w:t xml:space="preserve">אף כי תכליתה של </w:t>
      </w:r>
      <w:r w:rsidRPr="00DB22D2">
        <w:rPr>
          <w:rFonts w:ascii="David" w:eastAsia="Calibri" w:hAnsi="David"/>
          <w:noProof w:val="0"/>
          <w:rtl/>
        </w:rPr>
        <w:t xml:space="preserve">חובת ההנמקה </w:t>
      </w:r>
      <w:r w:rsidRPr="00DB22D2">
        <w:rPr>
          <w:rFonts w:ascii="David" w:eastAsia="Calibri" w:hAnsi="David" w:hint="cs"/>
          <w:noProof w:val="0"/>
          <w:rtl/>
        </w:rPr>
        <w:t xml:space="preserve">ידועה, נזכיר שניים מבין האדנים עליהם היא נשענת </w:t>
      </w:r>
      <w:r w:rsidRPr="00DB22D2">
        <w:rPr>
          <w:rFonts w:ascii="David" w:eastAsia="Calibri" w:hAnsi="David"/>
          <w:noProof w:val="0"/>
          <w:rtl/>
        </w:rPr>
        <w:t>–</w:t>
      </w:r>
      <w:r w:rsidRPr="00DB22D2">
        <w:rPr>
          <w:rFonts w:ascii="David" w:eastAsia="Calibri" w:hAnsi="David" w:hint="cs"/>
          <w:noProof w:val="0"/>
          <w:rtl/>
        </w:rPr>
        <w:t xml:space="preserve"> מתן אפשרות </w:t>
      </w:r>
      <w:r w:rsidRPr="00DB22D2">
        <w:rPr>
          <w:rFonts w:ascii="David" w:eastAsia="Calibri" w:hAnsi="David"/>
          <w:noProof w:val="0"/>
          <w:rtl/>
        </w:rPr>
        <w:t xml:space="preserve">לצדדים להבין </w:t>
      </w:r>
      <w:r w:rsidRPr="00DB22D2">
        <w:rPr>
          <w:rFonts w:ascii="David" w:eastAsia="Calibri" w:hAnsi="David" w:hint="cs"/>
          <w:noProof w:val="0"/>
          <w:rtl/>
        </w:rPr>
        <w:t xml:space="preserve">יסודות ההחלטה; ומתן אפשרות </w:t>
      </w:r>
      <w:r w:rsidRPr="00DB22D2">
        <w:rPr>
          <w:rFonts w:ascii="David" w:eastAsia="Calibri" w:hAnsi="David"/>
          <w:noProof w:val="0"/>
          <w:rtl/>
        </w:rPr>
        <w:t>לערכאת הערעור להעביר</w:t>
      </w:r>
      <w:r w:rsidRPr="00DB22D2">
        <w:rPr>
          <w:rFonts w:ascii="David" w:eastAsia="Calibri" w:hAnsi="David" w:hint="cs"/>
          <w:noProof w:val="0"/>
          <w:rtl/>
        </w:rPr>
        <w:t>ה תחת</w:t>
      </w:r>
      <w:r w:rsidRPr="00DB22D2">
        <w:rPr>
          <w:rFonts w:ascii="David" w:eastAsia="Calibri" w:hAnsi="David"/>
          <w:noProof w:val="0"/>
          <w:rtl/>
        </w:rPr>
        <w:t xml:space="preserve"> שבט ביקורת</w:t>
      </w:r>
      <w:r w:rsidRPr="00DB22D2">
        <w:rPr>
          <w:rFonts w:ascii="David" w:eastAsia="Calibri" w:hAnsi="David" w:hint="cs"/>
          <w:noProof w:val="0"/>
          <w:rtl/>
        </w:rPr>
        <w:t>ה</w:t>
      </w:r>
      <w:r w:rsidRPr="00DB22D2">
        <w:rPr>
          <w:rFonts w:ascii="David" w:eastAsia="Calibri" w:hAnsi="David"/>
          <w:noProof w:val="0"/>
          <w:rtl/>
        </w:rPr>
        <w:t xml:space="preserve">. </w:t>
      </w:r>
    </w:p>
    <w:p w:rsidR="005A6EEA" w:rsidRPr="00302778" w:rsidRDefault="005A6EEA" w:rsidP="005A6EEA">
      <w:pPr>
        <w:pStyle w:val="a4"/>
        <w:rPr>
          <w:rFonts w:ascii="David" w:eastAsia="Calibri" w:hAnsi="David"/>
          <w:noProof w:val="0"/>
          <w:rtl/>
        </w:rPr>
      </w:pPr>
    </w:p>
    <w:p w:rsidR="005A6EEA" w:rsidRDefault="005A6EEA" w:rsidP="005A6EEA">
      <w:pPr>
        <w:pStyle w:val="a4"/>
        <w:spacing w:line="360" w:lineRule="auto"/>
        <w:ind w:left="369"/>
        <w:jc w:val="both"/>
        <w:rPr>
          <w:rFonts w:ascii="David" w:eastAsia="Calibri" w:hAnsi="David"/>
          <w:noProof w:val="0"/>
          <w:rtl/>
        </w:rPr>
      </w:pPr>
      <w:r>
        <w:rPr>
          <w:rFonts w:ascii="David" w:eastAsia="Calibri" w:hAnsi="David" w:hint="cs"/>
          <w:noProof w:val="0"/>
          <w:rtl/>
        </w:rPr>
        <w:t xml:space="preserve">מובן גם, כי </w:t>
      </w:r>
      <w:r>
        <w:rPr>
          <w:rFonts w:ascii="David" w:eastAsia="Calibri" w:hAnsi="David"/>
          <w:noProof w:val="0"/>
          <w:rtl/>
        </w:rPr>
        <w:t>היק</w:t>
      </w:r>
      <w:r>
        <w:rPr>
          <w:rFonts w:ascii="David" w:eastAsia="Calibri" w:hAnsi="David" w:hint="cs"/>
          <w:noProof w:val="0"/>
          <w:rtl/>
        </w:rPr>
        <w:t>ף</w:t>
      </w:r>
      <w:r>
        <w:rPr>
          <w:rFonts w:ascii="David" w:eastAsia="Calibri" w:hAnsi="David"/>
          <w:noProof w:val="0"/>
          <w:rtl/>
        </w:rPr>
        <w:t xml:space="preserve"> חובת ההנמקה משתנה ממקרה למקרה בהתאם לנסיב</w:t>
      </w:r>
      <w:r>
        <w:rPr>
          <w:rFonts w:ascii="David" w:eastAsia="Calibri" w:hAnsi="David" w:hint="cs"/>
          <w:noProof w:val="0"/>
          <w:rtl/>
        </w:rPr>
        <w:t>ו</w:t>
      </w:r>
      <w:r>
        <w:rPr>
          <w:rFonts w:ascii="David" w:eastAsia="Calibri" w:hAnsi="David"/>
          <w:noProof w:val="0"/>
          <w:rtl/>
        </w:rPr>
        <w:t xml:space="preserve">ת ולמהות ההחלטה, </w:t>
      </w:r>
      <w:r>
        <w:rPr>
          <w:rFonts w:ascii="David" w:eastAsia="Calibri" w:hAnsi="David" w:hint="cs"/>
          <w:noProof w:val="0"/>
          <w:rtl/>
        </w:rPr>
        <w:t>ובידי ה</w:t>
      </w:r>
      <w:r>
        <w:rPr>
          <w:rFonts w:ascii="David" w:eastAsia="Calibri" w:hAnsi="David"/>
          <w:noProof w:val="0"/>
          <w:rtl/>
        </w:rPr>
        <w:t xml:space="preserve">ערכאה הדיונית שיקול הדעת </w:t>
      </w:r>
      <w:r>
        <w:rPr>
          <w:rFonts w:ascii="David" w:eastAsia="Calibri" w:hAnsi="David" w:hint="cs"/>
          <w:noProof w:val="0"/>
          <w:rtl/>
        </w:rPr>
        <w:t xml:space="preserve">לשרטט גבולותיו, </w:t>
      </w:r>
      <w:r>
        <w:rPr>
          <w:rFonts w:ascii="David" w:eastAsia="Calibri" w:hAnsi="David"/>
          <w:noProof w:val="0"/>
          <w:rtl/>
        </w:rPr>
        <w:t xml:space="preserve">אך החובה </w:t>
      </w:r>
      <w:r>
        <w:rPr>
          <w:rFonts w:ascii="David" w:eastAsia="Calibri" w:hAnsi="David" w:hint="cs"/>
          <w:noProof w:val="0"/>
          <w:rtl/>
        </w:rPr>
        <w:t>לעולם קיימת.</w:t>
      </w:r>
      <w:r>
        <w:rPr>
          <w:rFonts w:ascii="David" w:eastAsia="Calibri" w:hAnsi="David"/>
          <w:noProof w:val="0"/>
          <w:rtl/>
        </w:rPr>
        <w:t xml:space="preserve"> </w:t>
      </w:r>
    </w:p>
    <w:p w:rsidR="005A6EEA" w:rsidRDefault="005A6EEA" w:rsidP="005A6EEA">
      <w:pPr>
        <w:pStyle w:val="a4"/>
        <w:spacing w:line="360" w:lineRule="auto"/>
        <w:ind w:left="369"/>
        <w:jc w:val="both"/>
        <w:rPr>
          <w:rFonts w:ascii="David" w:eastAsia="Calibri" w:hAnsi="David"/>
          <w:noProof w:val="0"/>
          <w:rtl/>
        </w:rPr>
      </w:pPr>
    </w:p>
    <w:p w:rsidR="005A6EEA" w:rsidRPr="009400E0" w:rsidRDefault="005A6EEA" w:rsidP="005A6EEA">
      <w:pPr>
        <w:pStyle w:val="a4"/>
        <w:spacing w:line="360" w:lineRule="auto"/>
        <w:ind w:left="369"/>
        <w:jc w:val="both"/>
        <w:rPr>
          <w:rFonts w:ascii="David" w:eastAsia="Calibri" w:hAnsi="David"/>
          <w:noProof w:val="0"/>
          <w:u w:val="single"/>
        </w:rPr>
      </w:pPr>
      <w:r>
        <w:rPr>
          <w:rFonts w:ascii="David" w:eastAsia="Calibri" w:hAnsi="David" w:hint="cs"/>
          <w:noProof w:val="0"/>
          <w:u w:val="single"/>
          <w:rtl/>
        </w:rPr>
        <w:t>ומן הכלל אל הפרט</w:t>
      </w:r>
    </w:p>
    <w:p w:rsidR="005A6EEA" w:rsidRPr="00302778" w:rsidRDefault="005A6EEA" w:rsidP="005A6EEA">
      <w:pPr>
        <w:jc w:val="both"/>
        <w:rPr>
          <w:rFonts w:ascii="David" w:eastAsia="Calibri" w:hAnsi="David"/>
          <w:noProof w:val="0"/>
          <w:rtl/>
        </w:rPr>
      </w:pPr>
    </w:p>
    <w:p w:rsidR="005A6EEA" w:rsidRDefault="005A6EEA" w:rsidP="005A6EEA">
      <w:pPr>
        <w:pStyle w:val="a4"/>
        <w:spacing w:line="360" w:lineRule="auto"/>
        <w:ind w:left="369"/>
        <w:jc w:val="both"/>
        <w:rPr>
          <w:rFonts w:ascii="David" w:eastAsia="Calibri" w:hAnsi="David"/>
          <w:noProof w:val="0"/>
          <w:rtl/>
        </w:rPr>
      </w:pPr>
      <w:r>
        <w:rPr>
          <w:rFonts w:ascii="David" w:eastAsia="Calibri" w:hAnsi="David" w:hint="cs"/>
          <w:noProof w:val="0"/>
          <w:rtl/>
        </w:rPr>
        <w:t xml:space="preserve">אכן וכשם שנטען ע"י המבקשת, במקרה דנא בחר בית המשפט לסטות מן הכלל הקבוע בסעיף 5 לחוק יחסי ממון ואימץ את החלופה הקבועה </w:t>
      </w:r>
      <w:proofErr w:type="spellStart"/>
      <w:r>
        <w:rPr>
          <w:rFonts w:ascii="David" w:eastAsia="Calibri" w:hAnsi="David" w:hint="cs"/>
          <w:noProof w:val="0"/>
          <w:rtl/>
        </w:rPr>
        <w:t>בס"ק</w:t>
      </w:r>
      <w:proofErr w:type="spellEnd"/>
      <w:r>
        <w:rPr>
          <w:rFonts w:ascii="David" w:eastAsia="Calibri" w:hAnsi="David" w:hint="cs"/>
          <w:noProof w:val="0"/>
          <w:rtl/>
        </w:rPr>
        <w:t xml:space="preserve"> 5א(א)(2) לחוק.</w:t>
      </w:r>
    </w:p>
    <w:p w:rsidR="005A6EEA" w:rsidRDefault="005A6EEA" w:rsidP="005A6EEA">
      <w:pPr>
        <w:pStyle w:val="a4"/>
        <w:spacing w:line="360" w:lineRule="auto"/>
        <w:ind w:left="369"/>
        <w:jc w:val="both"/>
        <w:rPr>
          <w:rFonts w:ascii="David" w:eastAsia="Calibri" w:hAnsi="David"/>
          <w:noProof w:val="0"/>
          <w:rtl/>
        </w:rPr>
      </w:pPr>
      <w:r>
        <w:rPr>
          <w:rFonts w:ascii="David" w:eastAsia="Calibri" w:hAnsi="David" w:hint="cs"/>
          <w:noProof w:val="0"/>
          <w:rtl/>
        </w:rPr>
        <w:t xml:space="preserve">יתר על כן,  בית המשפט דבק בחריג של החריג לכלל האמור, ומעוגן </w:t>
      </w:r>
      <w:proofErr w:type="spellStart"/>
      <w:r>
        <w:rPr>
          <w:rFonts w:ascii="David" w:eastAsia="Calibri" w:hAnsi="David" w:hint="cs"/>
          <w:noProof w:val="0"/>
          <w:rtl/>
        </w:rPr>
        <w:t>בסיפת</w:t>
      </w:r>
      <w:proofErr w:type="spellEnd"/>
      <w:r>
        <w:rPr>
          <w:rFonts w:ascii="David" w:eastAsia="Calibri" w:hAnsi="David" w:hint="cs"/>
          <w:noProof w:val="0"/>
          <w:rtl/>
        </w:rPr>
        <w:t xml:space="preserve"> סעיף זה.</w:t>
      </w:r>
    </w:p>
    <w:p w:rsidR="005A6EEA" w:rsidRDefault="005A6EEA" w:rsidP="005A6EEA">
      <w:pPr>
        <w:pStyle w:val="a4"/>
        <w:spacing w:line="360" w:lineRule="auto"/>
        <w:ind w:left="369"/>
        <w:jc w:val="both"/>
        <w:rPr>
          <w:rFonts w:ascii="David" w:eastAsia="Calibri" w:hAnsi="David"/>
          <w:noProof w:val="0"/>
          <w:rtl/>
        </w:rPr>
      </w:pPr>
      <w:r>
        <w:rPr>
          <w:rFonts w:ascii="David" w:eastAsia="Calibri" w:hAnsi="David" w:hint="cs"/>
          <w:noProof w:val="0"/>
          <w:rtl/>
        </w:rPr>
        <w:t xml:space="preserve">מטבע הדברים ומטעמים מובנים, בחירה זו מטילה עליו חובה מוגברת לנמק החלטתו. </w:t>
      </w:r>
    </w:p>
    <w:p w:rsidR="005A6EEA" w:rsidRDefault="005A6EEA" w:rsidP="005A6EEA">
      <w:pPr>
        <w:pStyle w:val="a4"/>
        <w:spacing w:line="360" w:lineRule="auto"/>
        <w:ind w:left="369"/>
        <w:jc w:val="both"/>
        <w:rPr>
          <w:rFonts w:ascii="David" w:eastAsia="Calibri" w:hAnsi="David"/>
          <w:noProof w:val="0"/>
          <w:rtl/>
        </w:rPr>
      </w:pPr>
      <w:r>
        <w:rPr>
          <w:rFonts w:ascii="David" w:eastAsia="Calibri" w:hAnsi="David" w:hint="cs"/>
          <w:noProof w:val="0"/>
          <w:rtl/>
        </w:rPr>
        <w:t>מעיון בהחלטה עולה, כי היא נעדרת הנמקה מספקת, על אף שניתן ללמוד מתוכה, כי היא נשענת על שני אדנים: האחד, מועד עזיבת המשיב את הבית המשותף בחודש ינואר 2023; והשני, מועד הגשת הבקשה ליישוב סכסוך ע"י המבקשת בחודש פברואר 2023. טמונה בה גם המסקנה, הנגזרת משני הנימוקים הללו, כי חל קרע ביחסי הצדדים.</w:t>
      </w:r>
    </w:p>
    <w:p w:rsidR="005A6EEA" w:rsidRDefault="005A6EEA" w:rsidP="005A6EEA">
      <w:pPr>
        <w:pStyle w:val="a4"/>
        <w:spacing w:line="360" w:lineRule="auto"/>
        <w:ind w:left="369"/>
        <w:jc w:val="both"/>
        <w:rPr>
          <w:rFonts w:ascii="David" w:eastAsia="Calibri" w:hAnsi="David"/>
          <w:noProof w:val="0"/>
          <w:rtl/>
        </w:rPr>
      </w:pPr>
    </w:p>
    <w:p w:rsidR="005A6EEA" w:rsidRDefault="005A6EEA" w:rsidP="005A6EEA">
      <w:pPr>
        <w:pStyle w:val="a4"/>
        <w:spacing w:line="360" w:lineRule="auto"/>
        <w:ind w:left="369"/>
        <w:jc w:val="both"/>
        <w:rPr>
          <w:rFonts w:ascii="David" w:eastAsia="Calibri" w:hAnsi="David"/>
          <w:noProof w:val="0"/>
          <w:rtl/>
        </w:rPr>
      </w:pPr>
      <w:r>
        <w:rPr>
          <w:rFonts w:ascii="David" w:eastAsia="Calibri" w:hAnsi="David" w:hint="cs"/>
          <w:noProof w:val="0"/>
          <w:rtl/>
        </w:rPr>
        <w:t xml:space="preserve">בהתאם ללשון החוק, טעונה הסטייה מן הכלל והקדמת מועד הזכות לאיזון משאבים החלטה שיפוטית כי נפערה תהום ביחסי הצדדים ונוצר בהם קרע שאינו בר איחוי. </w:t>
      </w:r>
    </w:p>
    <w:p w:rsidR="005A6EEA" w:rsidRDefault="005A6EEA" w:rsidP="005A6EEA">
      <w:pPr>
        <w:pStyle w:val="a4"/>
        <w:spacing w:line="360" w:lineRule="auto"/>
        <w:ind w:left="369"/>
        <w:jc w:val="both"/>
        <w:rPr>
          <w:rFonts w:ascii="David" w:eastAsia="Calibri" w:hAnsi="David"/>
          <w:noProof w:val="0"/>
          <w:rtl/>
        </w:rPr>
      </w:pPr>
    </w:p>
    <w:p w:rsidR="005A6EEA" w:rsidRDefault="005A6EEA" w:rsidP="005A6EEA">
      <w:pPr>
        <w:pStyle w:val="a4"/>
        <w:spacing w:line="360" w:lineRule="auto"/>
        <w:ind w:left="369"/>
        <w:jc w:val="both"/>
        <w:rPr>
          <w:rFonts w:ascii="David" w:eastAsia="Calibri" w:hAnsi="David"/>
          <w:noProof w:val="0"/>
          <w:rtl/>
        </w:rPr>
      </w:pPr>
      <w:r>
        <w:rPr>
          <w:rFonts w:ascii="David" w:eastAsia="Calibri" w:hAnsi="David" w:hint="cs"/>
          <w:noProof w:val="0"/>
          <w:rtl/>
        </w:rPr>
        <w:t xml:space="preserve">עם זאת, בהינתן פרק הזמן הקצר יחסית בין מועד הקרע שנקבע ובין מועד פקיעת נישואי הצדדים בחודש מאי 2023, העומד על כשלושה חודשים ומחצה; בהינתן כי טרם נקבעו יתדות ופתוחה בפני הצדדים הדרך להביא בפני הערכאה הדיונית טענותיהם בעניין התחשבנות כספית נוספת אגב התנהלותם הכלכלית בפרק זמן זה; בהינתן שבמבחן המציאות (גם במועד ההחלטה) הקרע ביחסי הצדדים אכן לא היה בר איחוי ולראיה שזמן קצר יחסית לאחר הפרדת המגורים המשותפים, הם התגרשו זה מזו; ובהינתן, וזאת מבלי להביע עמדה בעניין ומבלי לטעת מסמרות, כי ממילא עתרה המבקשת בתביעתה </w:t>
      </w:r>
      <w:proofErr w:type="spellStart"/>
      <w:r>
        <w:rPr>
          <w:rFonts w:ascii="David" w:eastAsia="Calibri" w:hAnsi="David" w:hint="cs"/>
          <w:noProof w:val="0"/>
          <w:rtl/>
        </w:rPr>
        <w:t>לסעדים</w:t>
      </w:r>
      <w:proofErr w:type="spellEnd"/>
      <w:r>
        <w:rPr>
          <w:rFonts w:ascii="David" w:eastAsia="Calibri" w:hAnsi="David" w:hint="cs"/>
          <w:noProof w:val="0"/>
          <w:rtl/>
        </w:rPr>
        <w:t xml:space="preserve"> מכוח סעיף 8 לחוק יחסי ממון; והיות שממילא עניין לנו בהחלטת ביניים, אשר אי ההתערבות בה בשלב זה של ההליך אינה סותמת הגולל בפני מי מן הצדדים לתקוף אותה לאחר שיחתם ההליך, ככל שלא יעלה בידם להגיע להסכמות ויינתן פסק דין על יסוד התשתית הראייתית שתונח בפני בית המשפט קמא, לא מצאתי להתערב בהחלטה ובשיקול דעתה של הערכאה הדיונית, משלא שוכנעתי, כי נפל בה פגם חמור וכי הותרתה על כנה בשלב זה של ההליך עלולה לגרום למבקשת עיוות דין.        </w:t>
      </w:r>
    </w:p>
    <w:p w:rsidR="005A6EEA" w:rsidRDefault="005A6EEA" w:rsidP="005A6EEA">
      <w:pPr>
        <w:pStyle w:val="a4"/>
        <w:spacing w:line="360" w:lineRule="auto"/>
        <w:ind w:left="369"/>
        <w:jc w:val="both"/>
        <w:rPr>
          <w:rFonts w:ascii="David" w:eastAsia="Calibri" w:hAnsi="David"/>
          <w:noProof w:val="0"/>
          <w:rtl/>
        </w:rPr>
      </w:pPr>
    </w:p>
    <w:p w:rsidR="005A6EEA" w:rsidRDefault="005A6EEA" w:rsidP="005A6EEA">
      <w:pPr>
        <w:pStyle w:val="a4"/>
        <w:spacing w:line="360" w:lineRule="auto"/>
        <w:ind w:left="369"/>
        <w:jc w:val="both"/>
        <w:rPr>
          <w:rFonts w:ascii="David" w:eastAsia="Calibri" w:hAnsi="David"/>
          <w:noProof w:val="0"/>
          <w:rtl/>
        </w:rPr>
      </w:pPr>
      <w:r>
        <w:rPr>
          <w:rFonts w:ascii="David" w:eastAsia="Calibri" w:hAnsi="David" w:hint="cs"/>
          <w:noProof w:val="0"/>
          <w:rtl/>
        </w:rPr>
        <w:t>בשולי הדברים ולמעלה מן הצורך יוער, ואף זאת מבלי לטעת מסמרות או להביע עמדה בעניין, כי לא מצאתי שיש בהחלטה כדי להשליך על ההכרעה שתינתן בתביעת המשיב לדמי שימוש אשר שורשיה נטועים בדיני עשיית עושר ולא במשפט ובדיני הקניין.</w:t>
      </w:r>
    </w:p>
    <w:p w:rsidR="005A6EEA" w:rsidRPr="00521C2E" w:rsidRDefault="005A6EEA" w:rsidP="005A6EEA">
      <w:pPr>
        <w:pStyle w:val="a4"/>
        <w:ind w:left="227"/>
        <w:rPr>
          <w:rFonts w:ascii="David" w:eastAsia="Calibri" w:hAnsi="David"/>
          <w:noProof w:val="0"/>
          <w:rtl/>
        </w:rPr>
      </w:pPr>
    </w:p>
    <w:p w:rsidR="005A6EEA" w:rsidRDefault="005A6EEA" w:rsidP="005A6EEA">
      <w:pPr>
        <w:pStyle w:val="a4"/>
        <w:spacing w:line="360" w:lineRule="auto"/>
        <w:ind w:left="227" w:firstLine="142"/>
        <w:jc w:val="both"/>
        <w:rPr>
          <w:rFonts w:ascii="David" w:eastAsia="Calibri" w:hAnsi="David"/>
          <w:noProof w:val="0"/>
        </w:rPr>
      </w:pPr>
      <w:r>
        <w:rPr>
          <w:rFonts w:ascii="David" w:eastAsia="Calibri" w:hAnsi="David" w:hint="cs"/>
          <w:noProof w:val="0"/>
          <w:rtl/>
        </w:rPr>
        <w:t xml:space="preserve">על יסוד כל האמור דלעיל, הבקשה נדחית. </w:t>
      </w:r>
    </w:p>
    <w:p w:rsidR="005A6EEA" w:rsidRPr="00521C2E" w:rsidRDefault="005A6EEA" w:rsidP="005A6EEA">
      <w:pPr>
        <w:pStyle w:val="a4"/>
        <w:ind w:left="227"/>
        <w:rPr>
          <w:rFonts w:ascii="David" w:eastAsia="Calibri" w:hAnsi="David"/>
          <w:noProof w:val="0"/>
          <w:rtl/>
        </w:rPr>
      </w:pPr>
    </w:p>
    <w:p w:rsidR="005A6EEA" w:rsidRDefault="005A6EEA" w:rsidP="005A6EEA">
      <w:pPr>
        <w:pStyle w:val="a4"/>
        <w:spacing w:line="360" w:lineRule="auto"/>
        <w:ind w:left="369"/>
        <w:jc w:val="both"/>
        <w:rPr>
          <w:rFonts w:ascii="David" w:eastAsia="Calibri" w:hAnsi="David"/>
          <w:noProof w:val="0"/>
        </w:rPr>
      </w:pPr>
      <w:r>
        <w:rPr>
          <w:rFonts w:ascii="David" w:eastAsia="Calibri" w:hAnsi="David" w:hint="cs"/>
          <w:noProof w:val="0"/>
          <w:rtl/>
        </w:rPr>
        <w:t xml:space="preserve">בנסיבות העניין ולמרות התוצאה אליה הגעתי, לא מצאתי לעשות צו להוצאות, וכל צד יישא    בהוצאותיו. העירבון שהופקד ע"י המבקשת, על פירותיו, יושב לידיה באמצעות בא כוחה. </w:t>
      </w:r>
    </w:p>
    <w:p w:rsidR="005A6EEA" w:rsidRPr="007E79C4" w:rsidRDefault="005A6EEA" w:rsidP="005A6EEA">
      <w:pPr>
        <w:pStyle w:val="a4"/>
        <w:ind w:left="227"/>
        <w:rPr>
          <w:rFonts w:ascii="David" w:eastAsia="Calibri" w:hAnsi="David"/>
          <w:noProof w:val="0"/>
          <w:rtl/>
        </w:rPr>
      </w:pPr>
    </w:p>
    <w:p w:rsidR="005A6EEA" w:rsidRDefault="005A6EEA" w:rsidP="005A6EEA">
      <w:pPr>
        <w:pStyle w:val="a4"/>
        <w:spacing w:line="360" w:lineRule="auto"/>
        <w:ind w:left="227" w:firstLine="142"/>
        <w:jc w:val="both"/>
        <w:rPr>
          <w:rFonts w:ascii="David" w:eastAsia="Calibri" w:hAnsi="David"/>
          <w:noProof w:val="0"/>
        </w:rPr>
      </w:pPr>
      <w:r>
        <w:rPr>
          <w:rFonts w:ascii="David" w:eastAsia="Calibri" w:hAnsi="David" w:hint="cs"/>
          <w:noProof w:val="0"/>
          <w:rtl/>
        </w:rPr>
        <w:t xml:space="preserve">ההחלטה ניתנת לפרסום תוך השמטת שמות הצדדים ופרטים מזהים נוספים. </w:t>
      </w:r>
    </w:p>
    <w:p w:rsidR="005A6EEA" w:rsidRPr="007E79C4" w:rsidRDefault="005A6EEA" w:rsidP="005A6EEA">
      <w:pPr>
        <w:ind w:left="227"/>
        <w:jc w:val="both"/>
        <w:rPr>
          <w:rFonts w:ascii="David" w:eastAsia="Calibri" w:hAnsi="David"/>
          <w:noProof w:val="0"/>
          <w:rtl/>
        </w:rPr>
      </w:pPr>
    </w:p>
    <w:p w:rsidR="005A6EEA" w:rsidRPr="007E79C4" w:rsidRDefault="005A6EEA" w:rsidP="005A6EEA">
      <w:pPr>
        <w:pStyle w:val="a4"/>
        <w:spacing w:line="360" w:lineRule="auto"/>
        <w:ind w:left="227" w:firstLine="142"/>
        <w:jc w:val="both"/>
        <w:rPr>
          <w:rFonts w:ascii="Arial" w:hAnsi="Arial"/>
          <w:noProof w:val="0"/>
        </w:rPr>
      </w:pPr>
      <w:r w:rsidRPr="007E79C4">
        <w:rPr>
          <w:rFonts w:ascii="Arial" w:hAnsi="Arial"/>
          <w:noProof w:val="0"/>
          <w:rtl/>
        </w:rPr>
        <w:t>המזכירות תמציא ההחלטה לצדדים ותסגור התיק.</w:t>
      </w:r>
    </w:p>
    <w:p w:rsidR="005A6EEA" w:rsidRPr="00B95D6E" w:rsidRDefault="005A6EEA" w:rsidP="005A6EEA">
      <w:pPr>
        <w:spacing w:line="360" w:lineRule="auto"/>
        <w:jc w:val="both"/>
        <w:rPr>
          <w:rFonts w:ascii="Arial" w:hAnsi="Arial"/>
          <w:noProof w:val="0"/>
          <w:rtl/>
        </w:rPr>
      </w:pPr>
    </w:p>
    <w:p w:rsidR="005A6EEA" w:rsidRDefault="005A6EEA" w:rsidP="005A6EEA">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י"ג אייר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21 מאי 2024</w:t>
          </w:r>
        </w:sdtContent>
      </w:sdt>
      <w:r>
        <w:rPr>
          <w:rFonts w:ascii="Arial" w:hAnsi="Arial"/>
          <w:noProof w:val="0"/>
          <w:rtl/>
        </w:rPr>
        <w:t>, בהעדר הצדדים.</w:t>
      </w:r>
    </w:p>
    <w:p w:rsidR="005A6EEA" w:rsidRDefault="008933BE" w:rsidP="005A6EEA">
      <w:pPr>
        <w:tabs>
          <w:tab w:val="left" w:pos="2553"/>
        </w:tabs>
        <w:ind w:left="5040"/>
        <w:rPr>
          <w:rtl/>
        </w:rPr>
      </w:pPr>
      <w:sdt>
        <w:sdtPr>
          <w:rPr>
            <w:rFonts w:hint="cs"/>
            <w:rtl/>
          </w:rPr>
          <w:alias w:val="2045"/>
          <w:tag w:val="2045"/>
          <w:id w:val="740689340"/>
          <w:placeholder>
            <w:docPart w:val="50ABDF46F8754504B9B617D0C255DB22"/>
          </w:placeholder>
          <w:showingPlcHdr/>
          <w:text w:multiLine="1"/>
        </w:sdtPr>
        <w:sdtEndPr/>
        <w:sdtContent>
          <w:r w:rsidR="005A6EEA">
            <w:rPr>
              <w:rFonts w:hint="cs"/>
              <w:rtl/>
            </w:rPr>
            <w:t xml:space="preserve">     </w:t>
          </w:r>
        </w:sdtContent>
      </w:sdt>
    </w:p>
    <w:p w:rsidR="005A6EEA" w:rsidRDefault="005A6EEA" w:rsidP="005A6EEA">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354075379"/>
        </w:sdtPr>
        <w:sdtEndPr/>
        <w:sdtContent>
          <w:r>
            <w:drawing>
              <wp:inline distT="0" distB="0" distL="0" distR="0" wp14:anchorId="103C3795" wp14:editId="712D1901">
                <wp:extent cx="1666875" cy="1047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5" cstate="print">
                          <a:extLst/>
                        </a:blip>
                        <a:stretch>
                          <a:fillRect/>
                        </a:stretch>
                      </pic:blipFill>
                      <pic:spPr>
                        <a:xfrm>
                          <a:off x="0" y="0"/>
                          <a:ext cx="1666875" cy="1047750"/>
                        </a:xfrm>
                        <a:prstGeom prst="rect">
                          <a:avLst/>
                        </a:prstGeom>
                      </pic:spPr>
                    </pic:pic>
                  </a:graphicData>
                </a:graphic>
              </wp:inline>
            </w:drawing>
          </w:r>
        </w:sdtContent>
      </w:sdt>
    </w:p>
    <w:p w:rsidR="005A6EEA" w:rsidRDefault="005A6EEA" w:rsidP="005A6EEA">
      <w:pPr>
        <w:tabs>
          <w:tab w:val="left" w:pos="2553"/>
        </w:tabs>
        <w:rPr>
          <w:rFonts w:ascii="Arial" w:hAnsi="Arial"/>
          <w:noProof w:val="0"/>
          <w:rtl/>
        </w:rPr>
      </w:pPr>
    </w:p>
    <w:p w:rsidR="00912FC2" w:rsidRDefault="00912FC2"/>
    <w:sectPr w:rsidR="00912FC2" w:rsidSect="00897C85">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EEA"/>
    <w:rsid w:val="005A6EEA"/>
    <w:rsid w:val="008933BE"/>
    <w:rsid w:val="00897C85"/>
    <w:rsid w:val="00912FC2"/>
    <w:rsid w:val="00F8274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4AD9B4-1B3A-4529-86A6-64B5880A5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6EEA"/>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6EEA"/>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A6E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g"/><Relationship Id="rId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D676F7E7FAB462AB85F07E6113AA543"/>
        <w:category>
          <w:name w:val="כללי"/>
          <w:gallery w:val="placeholder"/>
        </w:category>
        <w:types>
          <w:type w:val="bbPlcHdr"/>
        </w:types>
        <w:behaviors>
          <w:behavior w:val="content"/>
        </w:behaviors>
        <w:guid w:val="{88F8BB68-60AE-4DD3-BA7F-4C5C777F924C}"/>
      </w:docPartPr>
      <w:docPartBody>
        <w:p w:rsidR="00D571B1" w:rsidRDefault="002531A3" w:rsidP="002531A3">
          <w:pPr>
            <w:pStyle w:val="8D676F7E7FAB462AB85F07E6113AA543"/>
          </w:pPr>
          <w:r w:rsidRPr="00CD516B">
            <w:rPr>
              <w:rFonts w:ascii="Arial" w:hAnsi="Arial"/>
              <w:b/>
              <w:bCs/>
              <w:sz w:val="26"/>
              <w:szCs w:val="26"/>
              <w:rtl/>
            </w:rPr>
            <w:t>שם צד א' ללא שם של חסוי</w:t>
          </w:r>
        </w:p>
      </w:docPartBody>
    </w:docPart>
    <w:docPart>
      <w:docPartPr>
        <w:name w:val="BA22562F2FC440E6A5B057FD8886F956"/>
        <w:category>
          <w:name w:val="כללי"/>
          <w:gallery w:val="placeholder"/>
        </w:category>
        <w:types>
          <w:type w:val="bbPlcHdr"/>
        </w:types>
        <w:behaviors>
          <w:behavior w:val="content"/>
        </w:behaviors>
        <w:guid w:val="{0FA9FF13-9439-4949-A86F-20B6ECAB324F}"/>
      </w:docPartPr>
      <w:docPartBody>
        <w:p w:rsidR="00D571B1" w:rsidRDefault="002531A3" w:rsidP="002531A3">
          <w:pPr>
            <w:pStyle w:val="BA22562F2FC440E6A5B057FD8886F956"/>
          </w:pPr>
          <w:r w:rsidRPr="00CD516B">
            <w:rPr>
              <w:rFonts w:ascii="Arial" w:hAnsi="Arial"/>
              <w:b/>
              <w:bCs/>
              <w:sz w:val="26"/>
              <w:szCs w:val="26"/>
              <w:rtl/>
            </w:rPr>
            <w:t>שם צד ב' ללא שם של חסוי</w:t>
          </w:r>
        </w:p>
      </w:docPartBody>
    </w:docPart>
    <w:docPart>
      <w:docPartPr>
        <w:name w:val="50ABDF46F8754504B9B617D0C255DB22"/>
        <w:category>
          <w:name w:val="כללי"/>
          <w:gallery w:val="placeholder"/>
        </w:category>
        <w:types>
          <w:type w:val="bbPlcHdr"/>
        </w:types>
        <w:behaviors>
          <w:behavior w:val="content"/>
        </w:behaviors>
        <w:guid w:val="{0E0E72C5-1C2B-437C-AA63-90D4EDE77544}"/>
      </w:docPartPr>
      <w:docPartBody>
        <w:p w:rsidR="00D571B1" w:rsidRDefault="002531A3" w:rsidP="002531A3">
          <w:pPr>
            <w:pStyle w:val="50ABDF46F8754504B9B617D0C255DB22"/>
          </w:pPr>
          <w:r>
            <w:rPr>
              <w:rFonts w:hint="cs"/>
              <w:rtl/>
            </w:rPr>
            <w:t xml:space="preserve">     </w:t>
          </w:r>
        </w:p>
      </w:docPartBody>
    </w:docPart>
    <w:docPart>
      <w:docPartPr>
        <w:name w:val="4FBCAF14F4064D47A89D806155736F54"/>
        <w:category>
          <w:name w:val="כללי"/>
          <w:gallery w:val="placeholder"/>
        </w:category>
        <w:types>
          <w:type w:val="bbPlcHdr"/>
        </w:types>
        <w:behaviors>
          <w:behavior w:val="content"/>
        </w:behaviors>
        <w:guid w:val="{97305692-2B37-46D9-B13D-513FE8427581}"/>
      </w:docPartPr>
      <w:docPartBody>
        <w:p w:rsidR="00D571B1" w:rsidRDefault="002531A3" w:rsidP="002531A3">
          <w:pPr>
            <w:pStyle w:val="4FBCAF14F4064D47A89D806155736F54"/>
          </w:pPr>
          <w:r>
            <w:rPr>
              <w:b/>
              <w:bCs/>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31A3"/>
    <w:rsid w:val="002531A3"/>
    <w:rsid w:val="00785285"/>
    <w:rsid w:val="00D571B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D676F7E7FAB462AB85F07E6113AA543">
    <w:name w:val="8D676F7E7FAB462AB85F07E6113AA543"/>
    <w:rsid w:val="002531A3"/>
    <w:pPr>
      <w:bidi/>
    </w:pPr>
  </w:style>
  <w:style w:type="paragraph" w:customStyle="1" w:styleId="BA22562F2FC440E6A5B057FD8886F956">
    <w:name w:val="BA22562F2FC440E6A5B057FD8886F956"/>
    <w:rsid w:val="002531A3"/>
    <w:pPr>
      <w:bidi/>
    </w:pPr>
  </w:style>
  <w:style w:type="paragraph" w:customStyle="1" w:styleId="50ABDF46F8754504B9B617D0C255DB22">
    <w:name w:val="50ABDF46F8754504B9B617D0C255DB22"/>
    <w:rsid w:val="002531A3"/>
    <w:pPr>
      <w:bidi/>
    </w:pPr>
  </w:style>
  <w:style w:type="paragraph" w:customStyle="1" w:styleId="4FBCAF14F4064D47A89D806155736F54">
    <w:name w:val="4FBCAF14F4064D47A89D806155736F54"/>
    <w:rsid w:val="002531A3"/>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2199</Words>
  <Characters>10997</Characters>
  <Application>Microsoft Office Word</Application>
  <DocSecurity>4</DocSecurity>
  <Lines>91</Lines>
  <Paragraphs>26</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פאני גילת כהן</dc:creator>
  <cp:keywords/>
  <dc:description/>
  <cp:lastModifiedBy>נעמה שחר</cp:lastModifiedBy>
  <cp:revision>2</cp:revision>
  <dcterms:created xsi:type="dcterms:W3CDTF">2024-05-26T11:15:00Z</dcterms:created>
  <dcterms:modified xsi:type="dcterms:W3CDTF">2024-05-26T11:15:00Z</dcterms:modified>
</cp:coreProperties>
</file>